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844945"/>
      </w:sdtPr>
      <w:sdtEndPr>
        <w:rPr>
          <w:rFonts w:eastAsiaTheme="minorHAnsi"/>
        </w:rPr>
      </w:sdtEndPr>
      <w:sdtContent>
        <w:p w14:paraId="7E0D5597" w14:textId="77777777" w:rsidR="00000000" w:rsidRDefault="00000000">
          <w:r>
            <w:t>Table of Contents</w:t>
          </w:r>
        </w:p>
      </w:sdtContent>
    </w:sdt>
    <w:p w14:paraId="609989D9" w14:textId="77777777" w:rsidR="002238AA" w:rsidRDefault="00000000">
      <w:pPr>
        <w:pStyle w:val="TOC2"/>
        <w:tabs>
          <w:tab w:val="right" w:leader="dot" w:pos="9350"/>
        </w:tabs>
        <w:rPr>
          <w:noProof/>
        </w:rPr>
      </w:pPr>
      <w:r>
        <w:fldChar w:fldCharType="begin"/>
      </w:r>
      <w:r>
        <w:instrText>TOC \h</w:instrText>
      </w:r>
      <w:r>
        <w:fldChar w:fldCharType="separate"/>
      </w:r>
      <w:hyperlink w:anchor="_Toc193378715" w:history="1">
        <w:r w:rsidR="002238AA" w:rsidRPr="00CD3086">
          <w:rPr>
            <w:rStyle w:val="Hyperlink"/>
            <w:noProof/>
          </w:rPr>
          <w:t>Gaucher's Disease Agents -  AZM</w:t>
        </w:r>
        <w:r w:rsidR="002238AA">
          <w:rPr>
            <w:noProof/>
          </w:rPr>
          <w:tab/>
        </w:r>
        <w:r w:rsidR="002238AA">
          <w:rPr>
            <w:noProof/>
          </w:rPr>
          <w:fldChar w:fldCharType="begin"/>
        </w:r>
        <w:r w:rsidR="002238AA">
          <w:rPr>
            <w:noProof/>
          </w:rPr>
          <w:instrText xml:space="preserve"> PAGEREF _Toc193378715 \h </w:instrText>
        </w:r>
        <w:r w:rsidR="002238AA">
          <w:rPr>
            <w:noProof/>
          </w:rPr>
        </w:r>
        <w:r w:rsidR="002238AA">
          <w:rPr>
            <w:noProof/>
          </w:rPr>
          <w:fldChar w:fldCharType="separate"/>
        </w:r>
        <w:r w:rsidR="002238AA">
          <w:rPr>
            <w:noProof/>
          </w:rPr>
          <w:t>2</w:t>
        </w:r>
        <w:r w:rsidR="002238AA">
          <w:rPr>
            <w:noProof/>
          </w:rPr>
          <w:fldChar w:fldCharType="end"/>
        </w:r>
      </w:hyperlink>
    </w:p>
    <w:p w14:paraId="7D4A3DBE" w14:textId="77777777" w:rsidR="002238AA" w:rsidRDefault="002238AA">
      <w:pPr>
        <w:pStyle w:val="TOC2"/>
        <w:tabs>
          <w:tab w:val="right" w:leader="dot" w:pos="9350"/>
        </w:tabs>
        <w:rPr>
          <w:noProof/>
        </w:rPr>
      </w:pPr>
      <w:hyperlink w:anchor="_Toc193378716" w:history="1">
        <w:r w:rsidRPr="00CD3086">
          <w:rPr>
            <w:rStyle w:val="Hyperlink"/>
            <w:noProof/>
          </w:rPr>
          <w:t>GLP-1 Agonists - AZM</w:t>
        </w:r>
        <w:r>
          <w:rPr>
            <w:noProof/>
          </w:rPr>
          <w:tab/>
        </w:r>
        <w:r>
          <w:rPr>
            <w:noProof/>
          </w:rPr>
          <w:fldChar w:fldCharType="begin"/>
        </w:r>
        <w:r>
          <w:rPr>
            <w:noProof/>
          </w:rPr>
          <w:instrText xml:space="preserve"> PAGEREF _Toc193378716 \h </w:instrText>
        </w:r>
        <w:r>
          <w:rPr>
            <w:noProof/>
          </w:rPr>
        </w:r>
        <w:r>
          <w:rPr>
            <w:noProof/>
          </w:rPr>
          <w:fldChar w:fldCharType="separate"/>
        </w:r>
        <w:r>
          <w:rPr>
            <w:noProof/>
          </w:rPr>
          <w:t>6</w:t>
        </w:r>
        <w:r>
          <w:rPr>
            <w:noProof/>
          </w:rPr>
          <w:fldChar w:fldCharType="end"/>
        </w:r>
      </w:hyperlink>
    </w:p>
    <w:p w14:paraId="242FA227" w14:textId="77777777" w:rsidR="002238AA" w:rsidRDefault="002238AA">
      <w:pPr>
        <w:pStyle w:val="TOC2"/>
        <w:tabs>
          <w:tab w:val="right" w:leader="dot" w:pos="9350"/>
        </w:tabs>
        <w:rPr>
          <w:noProof/>
        </w:rPr>
      </w:pPr>
      <w:hyperlink w:anchor="_Toc193378717" w:history="1">
        <w:r w:rsidRPr="00CD3086">
          <w:rPr>
            <w:rStyle w:val="Hyperlink"/>
            <w:noProof/>
          </w:rPr>
          <w:t>Pulmonary Arterial Hypertension (PAH) Agents</w:t>
        </w:r>
        <w:r>
          <w:rPr>
            <w:noProof/>
          </w:rPr>
          <w:tab/>
        </w:r>
        <w:r>
          <w:rPr>
            <w:noProof/>
          </w:rPr>
          <w:fldChar w:fldCharType="begin"/>
        </w:r>
        <w:r>
          <w:rPr>
            <w:noProof/>
          </w:rPr>
          <w:instrText xml:space="preserve"> PAGEREF _Toc193378717 \h </w:instrText>
        </w:r>
        <w:r>
          <w:rPr>
            <w:noProof/>
          </w:rPr>
        </w:r>
        <w:r>
          <w:rPr>
            <w:noProof/>
          </w:rPr>
          <w:fldChar w:fldCharType="separate"/>
        </w:r>
        <w:r>
          <w:rPr>
            <w:noProof/>
          </w:rPr>
          <w:t>11</w:t>
        </w:r>
        <w:r>
          <w:rPr>
            <w:noProof/>
          </w:rPr>
          <w:fldChar w:fldCharType="end"/>
        </w:r>
      </w:hyperlink>
    </w:p>
    <w:p w14:paraId="526C7D05" w14:textId="77777777" w:rsidR="002238AA" w:rsidRDefault="002238AA">
      <w:pPr>
        <w:pStyle w:val="TOC2"/>
        <w:tabs>
          <w:tab w:val="right" w:leader="dot" w:pos="9350"/>
        </w:tabs>
        <w:rPr>
          <w:noProof/>
        </w:rPr>
      </w:pPr>
      <w:hyperlink w:anchor="_Toc193378718" w:history="1">
        <w:r w:rsidRPr="00CD3086">
          <w:rPr>
            <w:rStyle w:val="Hyperlink"/>
            <w:noProof/>
          </w:rPr>
          <w:t>SGLT-2 Inhibitors - AZM</w:t>
        </w:r>
        <w:r>
          <w:rPr>
            <w:noProof/>
          </w:rPr>
          <w:tab/>
        </w:r>
        <w:r>
          <w:rPr>
            <w:noProof/>
          </w:rPr>
          <w:fldChar w:fldCharType="begin"/>
        </w:r>
        <w:r>
          <w:rPr>
            <w:noProof/>
          </w:rPr>
          <w:instrText xml:space="preserve"> PAGEREF _Toc193378718 \h </w:instrText>
        </w:r>
        <w:r>
          <w:rPr>
            <w:noProof/>
          </w:rPr>
        </w:r>
        <w:r>
          <w:rPr>
            <w:noProof/>
          </w:rPr>
          <w:fldChar w:fldCharType="separate"/>
        </w:r>
        <w:r>
          <w:rPr>
            <w:noProof/>
          </w:rPr>
          <w:t>17</w:t>
        </w:r>
        <w:r>
          <w:rPr>
            <w:noProof/>
          </w:rPr>
          <w:fldChar w:fldCharType="end"/>
        </w:r>
      </w:hyperlink>
    </w:p>
    <w:p w14:paraId="27051444" w14:textId="77777777" w:rsidR="002238AA" w:rsidRDefault="002238AA">
      <w:pPr>
        <w:pStyle w:val="TOC2"/>
        <w:tabs>
          <w:tab w:val="right" w:leader="dot" w:pos="9350"/>
        </w:tabs>
        <w:rPr>
          <w:noProof/>
        </w:rPr>
      </w:pPr>
      <w:hyperlink w:anchor="_Toc193378719" w:history="1">
        <w:r w:rsidRPr="00CD3086">
          <w:rPr>
            <w:rStyle w:val="Hyperlink"/>
            <w:noProof/>
          </w:rPr>
          <w:t>Testosterone - AZM</w:t>
        </w:r>
        <w:r>
          <w:rPr>
            <w:noProof/>
          </w:rPr>
          <w:tab/>
        </w:r>
        <w:r>
          <w:rPr>
            <w:noProof/>
          </w:rPr>
          <w:fldChar w:fldCharType="begin"/>
        </w:r>
        <w:r>
          <w:rPr>
            <w:noProof/>
          </w:rPr>
          <w:instrText xml:space="preserve"> PAGEREF _Toc193378719 \h </w:instrText>
        </w:r>
        <w:r>
          <w:rPr>
            <w:noProof/>
          </w:rPr>
        </w:r>
        <w:r>
          <w:rPr>
            <w:noProof/>
          </w:rPr>
          <w:fldChar w:fldCharType="separate"/>
        </w:r>
        <w:r>
          <w:rPr>
            <w:noProof/>
          </w:rPr>
          <w:t>23</w:t>
        </w:r>
        <w:r>
          <w:rPr>
            <w:noProof/>
          </w:rPr>
          <w:fldChar w:fldCharType="end"/>
        </w:r>
      </w:hyperlink>
    </w:p>
    <w:p w14:paraId="08E73A51" w14:textId="77777777" w:rsidR="00447855" w:rsidRDefault="00000000">
      <w:r>
        <w:fldChar w:fldCharType="end"/>
      </w:r>
    </w:p>
    <w:p w14:paraId="29B4DF16" w14:textId="77777777" w:rsidR="00447855" w:rsidRDefault="00000000">
      <w:pPr>
        <w:pStyle w:val="IndexStyle"/>
        <w:pageBreakBefore/>
      </w:pPr>
      <w:bookmarkStart w:id="0" w:name="_Toc193378715"/>
      <w:r>
        <w:lastRenderedPageBreak/>
        <w:t>Gaucher's Disease Agents -  AZM</w:t>
      </w:r>
      <w:bookmarkEnd w:id="0"/>
    </w:p>
    <w:p w14:paraId="1ADF2889" w14:textId="77777777" w:rsidR="00000000" w:rsidRDefault="00000000">
      <w:pPr>
        <w:spacing w:after="240"/>
        <w:divId w:val="1874803789"/>
        <w:rPr>
          <w:rFonts w:eastAsia="Times New Roman"/>
          <w:kern w:val="0"/>
          <w14:ligatures w14:val="none"/>
        </w:rPr>
      </w:pPr>
      <w:r>
        <w:rPr>
          <w:noProof/>
          <w:sz w:val="20"/>
          <w:szCs w:val="20"/>
        </w:rPr>
        <w:drawing>
          <wp:anchor distT="0" distB="0" distL="0" distR="0" simplePos="0" relativeHeight="251659264" behindDoc="0" locked="0" layoutInCell="1" allowOverlap="0" wp14:anchorId="7B3A32DD" wp14:editId="02BE32EA">
            <wp:simplePos x="0" y="0"/>
            <wp:positionH relativeFrom="column">
              <wp:align>left</wp:align>
            </wp:positionH>
            <wp:positionV relativeFrom="line">
              <wp:posOffset>0</wp:posOffset>
            </wp:positionV>
            <wp:extent cx="2190750" cy="48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2C591" w14:textId="77777777" w:rsidR="00000000" w:rsidRDefault="00000000">
      <w:pPr>
        <w:pStyle w:val="NormalWeb"/>
        <w:jc w:val="center"/>
        <w:divId w:val="1874803789"/>
      </w:pPr>
      <w:r>
        <w:rPr>
          <w:b/>
          <w:bCs/>
        </w:rPr>
        <w:t> </w:t>
      </w:r>
    </w:p>
    <w:p w14:paraId="1702358D" w14:textId="77777777" w:rsidR="00000000" w:rsidRDefault="00000000">
      <w:pPr>
        <w:pStyle w:val="NormalWeb"/>
        <w:jc w:val="center"/>
        <w:divId w:val="1874803789"/>
      </w:pPr>
      <w:r>
        <w:rPr>
          <w:b/>
          <w:bCs/>
        </w:rPr>
        <w:t> </w:t>
      </w:r>
    </w:p>
    <w:p w14:paraId="4ACD2F06" w14:textId="77777777" w:rsidR="00000000" w:rsidRDefault="00000000">
      <w:pPr>
        <w:pStyle w:val="documenttitle"/>
        <w:divId w:val="1874803789"/>
      </w:pPr>
      <w:r>
        <w:rPr>
          <w:b/>
          <w:bCs/>
        </w:rPr>
        <w:t>Prior Authorization Guideline</w:t>
      </w:r>
    </w:p>
    <w:p w14:paraId="3C91D9FD" w14:textId="77777777" w:rsidR="00000000" w:rsidRDefault="00000000">
      <w:pPr>
        <w:pStyle w:val="NormalWeb"/>
        <w:spacing w:before="0" w:beforeAutospacing="0" w:after="0" w:afterAutospacing="0"/>
        <w:divId w:val="1874803789"/>
      </w:pPr>
      <w:r>
        <w:br/>
        <w:t> </w:t>
      </w: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4DBA658E" w14:textId="77777777">
        <w:trPr>
          <w:divId w:val="1874803789"/>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648C76" w14:textId="77777777" w:rsidR="00000000" w:rsidRDefault="00000000">
            <w:pPr>
              <w:pStyle w:val="sectioncolumnp"/>
            </w:pPr>
            <w:r>
              <w:t>Guideline ID</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266D64A2" w14:textId="77777777" w:rsidR="00000000" w:rsidRDefault="00000000">
            <w:pPr>
              <w:pStyle w:val="sectioncolumnvaluep"/>
            </w:pPr>
            <w:r>
              <w:t xml:space="preserve">GL-208206 </w:t>
            </w:r>
          </w:p>
        </w:tc>
      </w:tr>
      <w:tr w:rsidR="00000000" w14:paraId="65A78219" w14:textId="77777777">
        <w:trPr>
          <w:divId w:val="1874803789"/>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D6D61A" w14:textId="77777777" w:rsidR="00000000" w:rsidRDefault="00000000">
            <w:pPr>
              <w:pStyle w:val="sectioncolumnp"/>
            </w:pPr>
            <w:r>
              <w:t>Guideline Name</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06E04AF0" w14:textId="77777777" w:rsidR="00000000" w:rsidRDefault="00000000">
            <w:pPr>
              <w:pStyle w:val="sectioncolumnvaluep"/>
            </w:pPr>
            <w:r>
              <w:t xml:space="preserve">Gaucher's Disease Agents - AZM </w:t>
            </w:r>
          </w:p>
        </w:tc>
      </w:tr>
      <w:tr w:rsidR="00000000" w14:paraId="0014B995" w14:textId="77777777">
        <w:trPr>
          <w:divId w:val="1874803789"/>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36F0A8" w14:textId="77777777" w:rsidR="00000000" w:rsidRDefault="00000000">
            <w:pPr>
              <w:pStyle w:val="sectioncolumnp"/>
            </w:pPr>
            <w:r>
              <w:t>Formulary</w:t>
            </w:r>
          </w:p>
        </w:tc>
        <w:tc>
          <w:tcPr>
            <w:tcW w:w="3750" w:type="pct"/>
            <w:hideMark/>
          </w:tcPr>
          <w:p w14:paraId="64BB4A0D" w14:textId="77777777" w:rsidR="00000000" w:rsidRDefault="00000000">
            <w:pPr>
              <w:pStyle w:val="sectioncolumnvaluep"/>
              <w:numPr>
                <w:ilvl w:val="0"/>
                <w:numId w:val="1"/>
              </w:numPr>
              <w:rPr>
                <w:rFonts w:eastAsia="Times New Roman"/>
              </w:rPr>
            </w:pPr>
            <w:r>
              <w:rPr>
                <w:rFonts w:eastAsia="Times New Roman"/>
              </w:rPr>
              <w:t xml:space="preserve">Medicaid - Arizona (AZM, AZMREF, AZMDDD) </w:t>
            </w:r>
          </w:p>
        </w:tc>
      </w:tr>
    </w:tbl>
    <w:p w14:paraId="362028F9" w14:textId="77777777" w:rsidR="00000000" w:rsidRDefault="00000000">
      <w:pPr>
        <w:spacing w:after="240"/>
        <w:divId w:val="1874803789"/>
        <w:rPr>
          <w:rFonts w:ascii="Arial" w:eastAsia="Times New Roman" w:hAnsi="Arial" w:cs="Arial"/>
        </w:rPr>
      </w:pPr>
      <w:r>
        <w:rPr>
          <w:rFonts w:ascii="Arial" w:eastAsia="Times New Roman" w:hAnsi="Arial" w:cs="Arial"/>
        </w:rPr>
        <w:br/>
      </w:r>
    </w:p>
    <w:p w14:paraId="0AD0B9DE" w14:textId="77777777" w:rsidR="00000000" w:rsidRDefault="00000000">
      <w:pPr>
        <w:pStyle w:val="sectionheaderp"/>
        <w:divId w:val="1874803789"/>
      </w:pPr>
      <w:r>
        <w:t>Guideline Note:</w:t>
      </w:r>
    </w:p>
    <w:tbl>
      <w:tblPr>
        <w:tblW w:w="49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2"/>
        <w:gridCol w:w="6935"/>
      </w:tblGrid>
      <w:tr w:rsidR="00000000" w14:paraId="4F5B03AA"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4773FDC" w14:textId="77777777" w:rsidR="00000000" w:rsidRDefault="00000000">
            <w:pPr>
              <w:pStyle w:val="sectioncolumnvaluep"/>
            </w:pPr>
            <w:r>
              <w:t>Effective Date: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DD995F7" w14:textId="77777777" w:rsidR="00000000" w:rsidRDefault="00000000">
            <w:pPr>
              <w:pStyle w:val="sectioncolumnvaluep"/>
            </w:pPr>
            <w:r>
              <w:t xml:space="preserve">4/1/2025 </w:t>
            </w:r>
          </w:p>
        </w:tc>
      </w:tr>
    </w:tbl>
    <w:p w14:paraId="71A86FFD" w14:textId="77777777" w:rsidR="00000000" w:rsidRDefault="00000000">
      <w:pPr>
        <w:divId w:val="1874803789"/>
        <w:rPr>
          <w:rFonts w:ascii="Arial" w:eastAsia="Times New Roman" w:hAnsi="Arial" w:cs="Arial"/>
        </w:rPr>
      </w:pPr>
      <w:r>
        <w:rPr>
          <w:rFonts w:ascii="Arial" w:eastAsia="Times New Roman" w:hAnsi="Arial" w:cs="Arial"/>
        </w:rPr>
        <w:br/>
      </w:r>
    </w:p>
    <w:p w14:paraId="65DD37F1" w14:textId="77777777" w:rsidR="00000000" w:rsidRDefault="00000000">
      <w:pPr>
        <w:spacing w:after="240"/>
        <w:divId w:val="1874803789"/>
        <w:rPr>
          <w:rFonts w:ascii="Arial" w:eastAsia="Times New Roman" w:hAnsi="Arial" w:cs="Arial"/>
        </w:rPr>
      </w:pPr>
      <w:r>
        <w:rPr>
          <w:rFonts w:ascii="Arial" w:eastAsia="Times New Roman" w:hAnsi="Arial" w:cs="Arial"/>
        </w:rPr>
        <w:br/>
      </w:r>
    </w:p>
    <w:p w14:paraId="72B7FC47" w14:textId="77777777" w:rsidR="00000000" w:rsidRDefault="00000000">
      <w:pPr>
        <w:pStyle w:val="sectionheaderp"/>
        <w:divId w:val="1874803789"/>
      </w:pPr>
      <w:r>
        <w:t>1 .  Criteria</w:t>
      </w:r>
    </w:p>
    <w:p w14:paraId="175626EF" w14:textId="77777777" w:rsidR="00000000" w:rsidRDefault="00000000">
      <w:pPr>
        <w:divId w:val="1874803789"/>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74EE320F"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5F204B1B" w14:textId="77777777" w:rsidR="00000000" w:rsidRDefault="00000000">
            <w:pPr>
              <w:pStyle w:val="sectioncolumnvaluep"/>
            </w:pPr>
            <w:r>
              <w:t xml:space="preserve">Product Name:Cerdelga </w:t>
            </w:r>
          </w:p>
        </w:tc>
      </w:tr>
      <w:tr w:rsidR="00000000" w14:paraId="76A69715"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1034ED3"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6F3EBB7" w14:textId="77777777" w:rsidR="00000000" w:rsidRDefault="00000000">
            <w:pPr>
              <w:pStyle w:val="sectioncolumnvaluep"/>
            </w:pPr>
            <w:r>
              <w:t xml:space="preserve">Type 1 Gaucher’s disease </w:t>
            </w:r>
          </w:p>
        </w:tc>
      </w:tr>
      <w:tr w:rsidR="00000000" w14:paraId="0088FFC1"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FFEE508"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0A54D08" w14:textId="77777777" w:rsidR="00000000" w:rsidRDefault="00000000">
            <w:pPr>
              <w:pStyle w:val="sectioncolumnvaluep"/>
            </w:pPr>
            <w:r>
              <w:t xml:space="preserve">12 month(s) </w:t>
            </w:r>
          </w:p>
        </w:tc>
      </w:tr>
      <w:tr w:rsidR="00000000" w14:paraId="0DEB8B9D"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2C84C68"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927FB95" w14:textId="77777777" w:rsidR="00000000" w:rsidRDefault="00000000">
            <w:pPr>
              <w:pStyle w:val="sectioncolumnvaluep"/>
            </w:pPr>
            <w:r>
              <w:t xml:space="preserve">Initial Authorization </w:t>
            </w:r>
          </w:p>
        </w:tc>
      </w:tr>
      <w:tr w:rsidR="00000000" w14:paraId="3904079D"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057C74D"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2859077" w14:textId="77777777" w:rsidR="00000000" w:rsidRDefault="00000000">
            <w:pPr>
              <w:pStyle w:val="sectioncolumnvaluep"/>
            </w:pPr>
            <w:r>
              <w:t xml:space="preserve">Prior Authorization </w:t>
            </w:r>
          </w:p>
        </w:tc>
      </w:tr>
      <w:tr w:rsidR="00000000" w14:paraId="25AA858E"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AA4D877" w14:textId="77777777" w:rsidR="00000000" w:rsidRDefault="00000000">
            <w:pPr>
              <w:rPr>
                <w:rFonts w:eastAsia="Times New Roman"/>
              </w:rPr>
            </w:pPr>
            <w:r>
              <w:rPr>
                <w:rFonts w:eastAsia="Times New Roman"/>
              </w:rPr>
              <w:br/>
            </w:r>
          </w:p>
          <w:p w14:paraId="5111438B" w14:textId="77777777" w:rsidR="00000000" w:rsidRDefault="00000000">
            <w:pPr>
              <w:pStyle w:val="sectioncolumnvaluep"/>
            </w:pPr>
            <w:r>
              <w:rPr>
                <w:b/>
                <w:bCs/>
              </w:rPr>
              <w:t xml:space="preserve">Approval Criteria   </w:t>
            </w:r>
          </w:p>
          <w:p w14:paraId="1E58FE12" w14:textId="77777777" w:rsidR="00000000" w:rsidRDefault="00000000">
            <w:pPr>
              <w:pStyle w:val="sectioncolumnvaluep"/>
            </w:pPr>
            <w:r>
              <w:br/>
            </w:r>
            <w:r>
              <w:rPr>
                <w:b/>
                <w:bCs/>
              </w:rPr>
              <w:t xml:space="preserve">1 </w:t>
            </w:r>
            <w:r>
              <w:t xml:space="preserve">- Diagnosis of Type 1 Gaucher’s disease </w:t>
            </w:r>
          </w:p>
          <w:p w14:paraId="5717B275" w14:textId="77777777" w:rsidR="00000000" w:rsidRDefault="00000000">
            <w:pPr>
              <w:pStyle w:val="logicconnectorp"/>
            </w:pPr>
            <w:r>
              <w:rPr>
                <w:b/>
                <w:bCs/>
              </w:rPr>
              <w:br/>
            </w:r>
            <w:r>
              <w:rPr>
                <w:b/>
                <w:bCs/>
              </w:rPr>
              <w:lastRenderedPageBreak/>
              <w:t>AND</w:t>
            </w:r>
          </w:p>
          <w:p w14:paraId="43261C01" w14:textId="77777777" w:rsidR="00000000" w:rsidRDefault="00000000">
            <w:pPr>
              <w:pStyle w:val="sectioncolumnvaluep"/>
            </w:pPr>
            <w:r>
              <w:br/>
            </w:r>
            <w:r>
              <w:rPr>
                <w:b/>
                <w:bCs/>
              </w:rPr>
              <w:t xml:space="preserve">2 </w:t>
            </w:r>
            <w:r>
              <w:t xml:space="preserve">- Patient is one of the following as detected by a Food and Drug Administration (FDA)-cleared test: </w:t>
            </w:r>
          </w:p>
          <w:p w14:paraId="280D229D" w14:textId="77777777" w:rsidR="00000000" w:rsidRDefault="00000000">
            <w:pPr>
              <w:numPr>
                <w:ilvl w:val="0"/>
                <w:numId w:val="2"/>
              </w:numPr>
              <w:spacing w:before="100" w:beforeAutospacing="1" w:after="100" w:afterAutospacing="1" w:line="240" w:lineRule="auto"/>
              <w:rPr>
                <w:rFonts w:eastAsia="Times New Roman"/>
              </w:rPr>
            </w:pPr>
            <w:r>
              <w:rPr>
                <w:rFonts w:ascii="Arial" w:eastAsia="Times New Roman" w:hAnsi="Arial" w:cs="Arial"/>
                <w:sz w:val="22"/>
                <w:szCs w:val="22"/>
              </w:rPr>
              <w:t xml:space="preserve">CYP2D6 extensive metabolizer </w:t>
            </w:r>
          </w:p>
          <w:p w14:paraId="1AF5A91E" w14:textId="77777777" w:rsidR="00000000" w:rsidRDefault="00000000">
            <w:pPr>
              <w:numPr>
                <w:ilvl w:val="0"/>
                <w:numId w:val="2"/>
              </w:numPr>
              <w:spacing w:before="100" w:beforeAutospacing="1" w:after="100" w:afterAutospacing="1" w:line="240" w:lineRule="auto"/>
              <w:rPr>
                <w:rFonts w:eastAsia="Times New Roman"/>
              </w:rPr>
            </w:pPr>
            <w:r>
              <w:rPr>
                <w:rFonts w:ascii="Arial" w:eastAsia="Times New Roman" w:hAnsi="Arial" w:cs="Arial"/>
                <w:sz w:val="22"/>
                <w:szCs w:val="22"/>
              </w:rPr>
              <w:t xml:space="preserve">CYP2D6 intermediate metabolizer </w:t>
            </w:r>
          </w:p>
          <w:p w14:paraId="5D65B3B2" w14:textId="77777777" w:rsidR="00000000" w:rsidRDefault="00000000">
            <w:pPr>
              <w:numPr>
                <w:ilvl w:val="0"/>
                <w:numId w:val="2"/>
              </w:numPr>
              <w:spacing w:before="100" w:beforeAutospacing="1" w:after="100" w:afterAutospacing="1" w:line="240" w:lineRule="auto"/>
              <w:rPr>
                <w:rFonts w:eastAsia="Times New Roman"/>
              </w:rPr>
            </w:pPr>
            <w:r>
              <w:rPr>
                <w:rFonts w:ascii="Arial" w:eastAsia="Times New Roman" w:hAnsi="Arial" w:cs="Arial"/>
                <w:sz w:val="22"/>
                <w:szCs w:val="22"/>
              </w:rPr>
              <w:t xml:space="preserve">CYP2D6 poor metabolizer </w:t>
            </w:r>
          </w:p>
          <w:p w14:paraId="21AB9EAA" w14:textId="77777777" w:rsidR="00000000" w:rsidRDefault="00000000">
            <w:pPr>
              <w:pStyle w:val="logicconnectorp"/>
            </w:pPr>
            <w:r>
              <w:rPr>
                <w:b/>
                <w:bCs/>
              </w:rPr>
              <w:br/>
              <w:t>AND</w:t>
            </w:r>
          </w:p>
          <w:p w14:paraId="4FF2A1EB" w14:textId="77777777" w:rsidR="00000000" w:rsidRDefault="00000000">
            <w:pPr>
              <w:pStyle w:val="sectioncolumnvaluep"/>
            </w:pPr>
            <w:r>
              <w:br/>
            </w:r>
            <w:r>
              <w:rPr>
                <w:b/>
                <w:bCs/>
              </w:rPr>
              <w:t xml:space="preserve">3 </w:t>
            </w:r>
            <w:r>
              <w:t xml:space="preserve">- Submission of medical records (e.g., chart notes) or paid claims confirming a history of failure or intolerance to generic miglustat </w:t>
            </w:r>
          </w:p>
          <w:p w14:paraId="2A3A9D1F" w14:textId="77777777" w:rsidR="00000000" w:rsidRDefault="00000000">
            <w:pPr>
              <w:rPr>
                <w:rFonts w:eastAsia="Times New Roman"/>
              </w:rPr>
            </w:pPr>
          </w:p>
        </w:tc>
      </w:tr>
    </w:tbl>
    <w:p w14:paraId="19D26384" w14:textId="77777777" w:rsidR="00000000" w:rsidRDefault="00000000">
      <w:pPr>
        <w:divId w:val="1874803789"/>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42218D37"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37408B02" w14:textId="77777777" w:rsidR="00000000" w:rsidRDefault="00000000">
            <w:pPr>
              <w:pStyle w:val="sectioncolumnvaluep"/>
            </w:pPr>
            <w:r>
              <w:t xml:space="preserve">Product Name:Cerezyme </w:t>
            </w:r>
          </w:p>
        </w:tc>
      </w:tr>
      <w:tr w:rsidR="00000000" w14:paraId="7CCFED88"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C334762"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6462A41" w14:textId="77777777" w:rsidR="00000000" w:rsidRDefault="00000000">
            <w:pPr>
              <w:pStyle w:val="sectioncolumnvaluep"/>
            </w:pPr>
            <w:r>
              <w:t xml:space="preserve">Type 1 Gaucher’s disease </w:t>
            </w:r>
          </w:p>
        </w:tc>
      </w:tr>
      <w:tr w:rsidR="00000000" w14:paraId="34E85AF8"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FD8663A"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BD6A799" w14:textId="77777777" w:rsidR="00000000" w:rsidRDefault="00000000">
            <w:pPr>
              <w:pStyle w:val="sectioncolumnvaluep"/>
            </w:pPr>
            <w:r>
              <w:t xml:space="preserve">12 month(s) </w:t>
            </w:r>
          </w:p>
        </w:tc>
      </w:tr>
      <w:tr w:rsidR="00000000" w14:paraId="4ED1C83E"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0F6B362"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34CA7E5" w14:textId="77777777" w:rsidR="00000000" w:rsidRDefault="00000000">
            <w:pPr>
              <w:pStyle w:val="sectioncolumnvaluep"/>
            </w:pPr>
            <w:r>
              <w:t xml:space="preserve">Initial Authorization </w:t>
            </w:r>
          </w:p>
        </w:tc>
      </w:tr>
      <w:tr w:rsidR="00000000" w14:paraId="393B0473"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0FBDA5F"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8F56546" w14:textId="77777777" w:rsidR="00000000" w:rsidRDefault="00000000">
            <w:pPr>
              <w:pStyle w:val="sectioncolumnvaluep"/>
            </w:pPr>
            <w:r>
              <w:t xml:space="preserve">Prior Authorization </w:t>
            </w:r>
          </w:p>
        </w:tc>
      </w:tr>
      <w:tr w:rsidR="00000000" w14:paraId="230ED3CF"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8267756" w14:textId="77777777" w:rsidR="00000000" w:rsidRDefault="00000000">
            <w:pPr>
              <w:rPr>
                <w:rFonts w:eastAsia="Times New Roman"/>
              </w:rPr>
            </w:pPr>
            <w:r>
              <w:rPr>
                <w:rFonts w:eastAsia="Times New Roman"/>
              </w:rPr>
              <w:br/>
            </w:r>
          </w:p>
          <w:p w14:paraId="66BCE3A0" w14:textId="77777777" w:rsidR="00000000" w:rsidRDefault="00000000">
            <w:pPr>
              <w:pStyle w:val="sectioncolumnvaluep"/>
            </w:pPr>
            <w:r>
              <w:rPr>
                <w:b/>
                <w:bCs/>
              </w:rPr>
              <w:t xml:space="preserve">Approval Criteria   </w:t>
            </w:r>
          </w:p>
          <w:p w14:paraId="7775529B" w14:textId="77777777" w:rsidR="00000000" w:rsidRDefault="00000000">
            <w:pPr>
              <w:pStyle w:val="sectioncolumnvaluep"/>
            </w:pPr>
            <w:r>
              <w:br/>
            </w:r>
            <w:r>
              <w:rPr>
                <w:b/>
                <w:bCs/>
              </w:rPr>
              <w:t xml:space="preserve">1 </w:t>
            </w:r>
            <w:r>
              <w:t xml:space="preserve">- Diagnosis of Type 1 Gaucher’s disease that results in one or more of the following conditions: </w:t>
            </w:r>
          </w:p>
          <w:p w14:paraId="6AEEEA35" w14:textId="77777777" w:rsidR="00000000" w:rsidRDefault="00000000">
            <w:pPr>
              <w:numPr>
                <w:ilvl w:val="0"/>
                <w:numId w:val="3"/>
              </w:numPr>
              <w:spacing w:before="100" w:beforeAutospacing="1" w:after="100" w:afterAutospacing="1" w:line="240" w:lineRule="auto"/>
              <w:rPr>
                <w:rFonts w:eastAsia="Times New Roman"/>
              </w:rPr>
            </w:pPr>
            <w:r>
              <w:rPr>
                <w:rFonts w:ascii="Arial" w:eastAsia="Times New Roman" w:hAnsi="Arial" w:cs="Arial"/>
                <w:sz w:val="22"/>
                <w:szCs w:val="22"/>
              </w:rPr>
              <w:t xml:space="preserve">Anemia </w:t>
            </w:r>
          </w:p>
          <w:p w14:paraId="6A9BF4A7" w14:textId="77777777" w:rsidR="00000000" w:rsidRDefault="00000000">
            <w:pPr>
              <w:numPr>
                <w:ilvl w:val="0"/>
                <w:numId w:val="3"/>
              </w:numPr>
              <w:spacing w:before="100" w:beforeAutospacing="1" w:after="100" w:afterAutospacing="1" w:line="240" w:lineRule="auto"/>
              <w:rPr>
                <w:rFonts w:eastAsia="Times New Roman"/>
              </w:rPr>
            </w:pPr>
            <w:r>
              <w:rPr>
                <w:rFonts w:ascii="Arial" w:eastAsia="Times New Roman" w:hAnsi="Arial" w:cs="Arial"/>
                <w:sz w:val="22"/>
                <w:szCs w:val="22"/>
              </w:rPr>
              <w:t xml:space="preserve">Thrombocytopenia </w:t>
            </w:r>
          </w:p>
          <w:p w14:paraId="7C059F2E" w14:textId="77777777" w:rsidR="00000000" w:rsidRDefault="00000000">
            <w:pPr>
              <w:numPr>
                <w:ilvl w:val="0"/>
                <w:numId w:val="3"/>
              </w:numPr>
              <w:spacing w:before="100" w:beforeAutospacing="1" w:after="100" w:afterAutospacing="1" w:line="240" w:lineRule="auto"/>
              <w:rPr>
                <w:rFonts w:eastAsia="Times New Roman"/>
              </w:rPr>
            </w:pPr>
            <w:r>
              <w:rPr>
                <w:rFonts w:ascii="Arial" w:eastAsia="Times New Roman" w:hAnsi="Arial" w:cs="Arial"/>
                <w:sz w:val="22"/>
                <w:szCs w:val="22"/>
              </w:rPr>
              <w:t xml:space="preserve">Bone disease </w:t>
            </w:r>
          </w:p>
          <w:p w14:paraId="7EB892DB" w14:textId="77777777" w:rsidR="00000000" w:rsidRDefault="00000000">
            <w:pPr>
              <w:numPr>
                <w:ilvl w:val="0"/>
                <w:numId w:val="3"/>
              </w:numPr>
              <w:spacing w:before="100" w:beforeAutospacing="1" w:after="100" w:afterAutospacing="1" w:line="240" w:lineRule="auto"/>
              <w:rPr>
                <w:rFonts w:eastAsia="Times New Roman"/>
              </w:rPr>
            </w:pPr>
            <w:r>
              <w:rPr>
                <w:rFonts w:ascii="Arial" w:eastAsia="Times New Roman" w:hAnsi="Arial" w:cs="Arial"/>
                <w:sz w:val="22"/>
                <w:szCs w:val="22"/>
              </w:rPr>
              <w:t xml:space="preserve">Hepatomegaly or splenomegaly </w:t>
            </w:r>
          </w:p>
          <w:p w14:paraId="09E6D22C" w14:textId="77777777" w:rsidR="00000000" w:rsidRDefault="00000000">
            <w:pPr>
              <w:pStyle w:val="logicconnectorp"/>
            </w:pPr>
            <w:r>
              <w:rPr>
                <w:b/>
                <w:bCs/>
              </w:rPr>
              <w:br/>
              <w:t>AND</w:t>
            </w:r>
          </w:p>
          <w:p w14:paraId="7719AA23" w14:textId="77777777" w:rsidR="00000000" w:rsidRDefault="00000000">
            <w:pPr>
              <w:pStyle w:val="sectioncolumnvaluep"/>
            </w:pPr>
            <w:r>
              <w:br/>
            </w:r>
            <w:r>
              <w:rPr>
                <w:b/>
                <w:bCs/>
              </w:rPr>
              <w:t xml:space="preserve">2 </w:t>
            </w:r>
            <w:r>
              <w:t xml:space="preserve">- Submission of medical records (e.g., chart notes) or paid claims confirming a history of failure or intolerance to BOTH of the following: </w:t>
            </w:r>
          </w:p>
          <w:p w14:paraId="2EA0FDD9" w14:textId="77777777" w:rsidR="00000000" w:rsidRDefault="00000000">
            <w:pPr>
              <w:numPr>
                <w:ilvl w:val="0"/>
                <w:numId w:val="4"/>
              </w:numPr>
              <w:spacing w:before="100" w:beforeAutospacing="1" w:after="100" w:afterAutospacing="1" w:line="240" w:lineRule="auto"/>
              <w:rPr>
                <w:rFonts w:eastAsia="Times New Roman"/>
              </w:rPr>
            </w:pPr>
            <w:r>
              <w:rPr>
                <w:rFonts w:ascii="Arial" w:eastAsia="Times New Roman" w:hAnsi="Arial" w:cs="Arial"/>
                <w:sz w:val="22"/>
                <w:szCs w:val="22"/>
              </w:rPr>
              <w:t xml:space="preserve">generic miglustat </w:t>
            </w:r>
          </w:p>
          <w:p w14:paraId="71372E7E" w14:textId="77777777" w:rsidR="00000000" w:rsidRDefault="00000000">
            <w:pPr>
              <w:numPr>
                <w:ilvl w:val="0"/>
                <w:numId w:val="4"/>
              </w:numPr>
              <w:spacing w:before="100" w:beforeAutospacing="1" w:after="100" w:afterAutospacing="1" w:line="240" w:lineRule="auto"/>
              <w:rPr>
                <w:rFonts w:eastAsia="Times New Roman"/>
              </w:rPr>
            </w:pPr>
            <w:r>
              <w:rPr>
                <w:rFonts w:ascii="Arial" w:eastAsia="Times New Roman" w:hAnsi="Arial" w:cs="Arial"/>
                <w:sz w:val="22"/>
                <w:szCs w:val="22"/>
              </w:rPr>
              <w:t xml:space="preserve">Elelyso </w:t>
            </w:r>
          </w:p>
          <w:p w14:paraId="6CFF8E9B" w14:textId="77777777" w:rsidR="00000000" w:rsidRDefault="00000000">
            <w:pPr>
              <w:spacing w:after="0"/>
              <w:rPr>
                <w:rFonts w:eastAsia="Times New Roman"/>
              </w:rPr>
            </w:pPr>
          </w:p>
        </w:tc>
      </w:tr>
    </w:tbl>
    <w:p w14:paraId="0AE07DA6" w14:textId="77777777" w:rsidR="00000000" w:rsidRDefault="00000000">
      <w:pPr>
        <w:divId w:val="1874803789"/>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7BAD8F9"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61410DCA" w14:textId="77777777" w:rsidR="00000000" w:rsidRDefault="00000000">
            <w:pPr>
              <w:pStyle w:val="sectioncolumnvaluep"/>
            </w:pPr>
            <w:r>
              <w:t xml:space="preserve">Product Name:Vpriv, Elelyso </w:t>
            </w:r>
          </w:p>
        </w:tc>
      </w:tr>
      <w:tr w:rsidR="00000000" w14:paraId="49B61ED1"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6229315"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7718989" w14:textId="77777777" w:rsidR="00000000" w:rsidRDefault="00000000">
            <w:pPr>
              <w:pStyle w:val="sectioncolumnvaluep"/>
            </w:pPr>
            <w:r>
              <w:t xml:space="preserve">Type 1 Gaucher’s disease </w:t>
            </w:r>
          </w:p>
        </w:tc>
      </w:tr>
      <w:tr w:rsidR="00000000" w14:paraId="607947A2"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AC90DCB"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E2304BB" w14:textId="77777777" w:rsidR="00000000" w:rsidRDefault="00000000">
            <w:pPr>
              <w:pStyle w:val="sectioncolumnvaluep"/>
            </w:pPr>
            <w:r>
              <w:t xml:space="preserve">12 month(s) </w:t>
            </w:r>
          </w:p>
        </w:tc>
      </w:tr>
      <w:tr w:rsidR="00000000" w14:paraId="3FE5CD9F"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7BDF98E"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E1B7F0C" w14:textId="77777777" w:rsidR="00000000" w:rsidRDefault="00000000">
            <w:pPr>
              <w:pStyle w:val="sectioncolumnvaluep"/>
            </w:pPr>
            <w:r>
              <w:t xml:space="preserve">Initial Authorization </w:t>
            </w:r>
          </w:p>
        </w:tc>
      </w:tr>
      <w:tr w:rsidR="00000000" w14:paraId="16797D90"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E0E1391"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D119478" w14:textId="77777777" w:rsidR="00000000" w:rsidRDefault="00000000">
            <w:pPr>
              <w:pStyle w:val="sectioncolumnvaluep"/>
            </w:pPr>
            <w:r>
              <w:t xml:space="preserve">Prior Authorization </w:t>
            </w:r>
          </w:p>
        </w:tc>
      </w:tr>
      <w:tr w:rsidR="00000000" w14:paraId="21380706"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DD2B91B" w14:textId="77777777" w:rsidR="00000000" w:rsidRDefault="00000000">
            <w:pPr>
              <w:rPr>
                <w:rFonts w:eastAsia="Times New Roman"/>
              </w:rPr>
            </w:pPr>
            <w:r>
              <w:rPr>
                <w:rFonts w:eastAsia="Times New Roman"/>
              </w:rPr>
              <w:br/>
            </w:r>
          </w:p>
          <w:p w14:paraId="281418B4" w14:textId="77777777" w:rsidR="00000000" w:rsidRDefault="00000000">
            <w:pPr>
              <w:pStyle w:val="sectioncolumnvaluep"/>
            </w:pPr>
            <w:r>
              <w:rPr>
                <w:b/>
                <w:bCs/>
              </w:rPr>
              <w:t xml:space="preserve">Approval Criteria   </w:t>
            </w:r>
          </w:p>
          <w:p w14:paraId="26046757" w14:textId="77777777" w:rsidR="00000000" w:rsidRDefault="00000000">
            <w:pPr>
              <w:pStyle w:val="sectioncolumnvaluep"/>
            </w:pPr>
            <w:r>
              <w:br/>
            </w:r>
            <w:r>
              <w:rPr>
                <w:b/>
                <w:bCs/>
              </w:rPr>
              <w:t xml:space="preserve">1 </w:t>
            </w:r>
            <w:r>
              <w:t xml:space="preserve">- Diagnosis of Type 1 Gaucher’s disease </w:t>
            </w:r>
          </w:p>
          <w:p w14:paraId="11FD460E" w14:textId="77777777" w:rsidR="00000000" w:rsidRDefault="00000000">
            <w:pPr>
              <w:pStyle w:val="logicconnectorp"/>
            </w:pPr>
            <w:r>
              <w:rPr>
                <w:b/>
                <w:bCs/>
              </w:rPr>
              <w:br/>
              <w:t>AND</w:t>
            </w:r>
          </w:p>
          <w:p w14:paraId="3C754B92" w14:textId="77777777" w:rsidR="00000000" w:rsidRDefault="00000000">
            <w:pPr>
              <w:pStyle w:val="sectioncolumnvaluep"/>
            </w:pPr>
            <w:r>
              <w:br/>
            </w:r>
            <w:r>
              <w:rPr>
                <w:b/>
                <w:bCs/>
              </w:rPr>
              <w:t xml:space="preserve">2 </w:t>
            </w:r>
            <w:r>
              <w:t xml:space="preserve">- For VPRIV requests ONLY: Submission of medical records (e.g., chart notes) or paid claims confirming a history of failure or intolerance to BOTH of the following: </w:t>
            </w:r>
          </w:p>
          <w:p w14:paraId="7AE0FAA0" w14:textId="77777777" w:rsidR="00000000" w:rsidRDefault="00000000">
            <w:pPr>
              <w:numPr>
                <w:ilvl w:val="0"/>
                <w:numId w:val="5"/>
              </w:numPr>
              <w:spacing w:before="100" w:beforeAutospacing="1" w:after="100" w:afterAutospacing="1" w:line="240" w:lineRule="auto"/>
              <w:rPr>
                <w:rFonts w:eastAsia="Times New Roman"/>
              </w:rPr>
            </w:pPr>
            <w:r>
              <w:rPr>
                <w:rFonts w:ascii="Arial" w:eastAsia="Times New Roman" w:hAnsi="Arial" w:cs="Arial"/>
                <w:sz w:val="22"/>
                <w:szCs w:val="22"/>
              </w:rPr>
              <w:t xml:space="preserve">generic miglustat </w:t>
            </w:r>
          </w:p>
          <w:p w14:paraId="23FBBD1E" w14:textId="77777777" w:rsidR="00000000" w:rsidRDefault="00000000">
            <w:pPr>
              <w:numPr>
                <w:ilvl w:val="0"/>
                <w:numId w:val="5"/>
              </w:numPr>
              <w:spacing w:before="100" w:beforeAutospacing="1" w:after="100" w:afterAutospacing="1" w:line="240" w:lineRule="auto"/>
              <w:rPr>
                <w:rFonts w:eastAsia="Times New Roman"/>
              </w:rPr>
            </w:pPr>
            <w:r>
              <w:rPr>
                <w:rFonts w:ascii="Arial" w:eastAsia="Times New Roman" w:hAnsi="Arial" w:cs="Arial"/>
                <w:sz w:val="22"/>
                <w:szCs w:val="22"/>
              </w:rPr>
              <w:t xml:space="preserve">Elelyso </w:t>
            </w:r>
          </w:p>
          <w:p w14:paraId="0B92FE72" w14:textId="77777777" w:rsidR="00000000" w:rsidRDefault="00000000">
            <w:pPr>
              <w:spacing w:after="0"/>
              <w:rPr>
                <w:rFonts w:eastAsia="Times New Roman"/>
              </w:rPr>
            </w:pPr>
          </w:p>
        </w:tc>
      </w:tr>
    </w:tbl>
    <w:p w14:paraId="7D724013" w14:textId="77777777" w:rsidR="00000000" w:rsidRDefault="00000000">
      <w:pPr>
        <w:divId w:val="1874803789"/>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6386C0C3"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2311235F" w14:textId="77777777" w:rsidR="00000000" w:rsidRDefault="00000000">
            <w:pPr>
              <w:pStyle w:val="sectioncolumnvaluep"/>
            </w:pPr>
            <w:r>
              <w:t xml:space="preserve">Product Name:Brand Zavesca, generic miglustat </w:t>
            </w:r>
          </w:p>
        </w:tc>
      </w:tr>
      <w:tr w:rsidR="00000000" w14:paraId="6756EC4B"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39DDD18"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A37BCE9" w14:textId="77777777" w:rsidR="00000000" w:rsidRDefault="00000000">
            <w:pPr>
              <w:pStyle w:val="sectioncolumnvaluep"/>
            </w:pPr>
            <w:r>
              <w:t xml:space="preserve">Type 1 Gaucher’s disease </w:t>
            </w:r>
          </w:p>
        </w:tc>
      </w:tr>
      <w:tr w:rsidR="00000000" w14:paraId="0CFA1C17"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CB3D530"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A06410A" w14:textId="77777777" w:rsidR="00000000" w:rsidRDefault="00000000">
            <w:pPr>
              <w:pStyle w:val="sectioncolumnvaluep"/>
            </w:pPr>
            <w:r>
              <w:t xml:space="preserve">12 month(s) </w:t>
            </w:r>
          </w:p>
        </w:tc>
      </w:tr>
      <w:tr w:rsidR="00000000" w14:paraId="28FDD9D4"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21450B4"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0690BFE" w14:textId="77777777" w:rsidR="00000000" w:rsidRDefault="00000000">
            <w:pPr>
              <w:pStyle w:val="sectioncolumnvaluep"/>
            </w:pPr>
            <w:r>
              <w:t xml:space="preserve">Initial Authorization </w:t>
            </w:r>
          </w:p>
        </w:tc>
      </w:tr>
      <w:tr w:rsidR="00000000" w14:paraId="5F5887CD"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D9A6997"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7D19BF3" w14:textId="77777777" w:rsidR="00000000" w:rsidRDefault="00000000">
            <w:pPr>
              <w:pStyle w:val="sectioncolumnvaluep"/>
            </w:pPr>
            <w:r>
              <w:t xml:space="preserve">Prior Authorization </w:t>
            </w:r>
          </w:p>
        </w:tc>
      </w:tr>
      <w:tr w:rsidR="00000000" w14:paraId="185E615A"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25EAB19" w14:textId="77777777" w:rsidR="00000000" w:rsidRDefault="00000000">
            <w:pPr>
              <w:rPr>
                <w:rFonts w:eastAsia="Times New Roman"/>
              </w:rPr>
            </w:pPr>
            <w:r>
              <w:rPr>
                <w:rFonts w:eastAsia="Times New Roman"/>
              </w:rPr>
              <w:br/>
            </w:r>
          </w:p>
          <w:p w14:paraId="64D6BFF0" w14:textId="77777777" w:rsidR="00000000" w:rsidRDefault="00000000">
            <w:pPr>
              <w:pStyle w:val="sectioncolumnvaluep"/>
            </w:pPr>
            <w:r>
              <w:rPr>
                <w:b/>
                <w:bCs/>
              </w:rPr>
              <w:t xml:space="preserve">Approval Criteria   </w:t>
            </w:r>
          </w:p>
          <w:p w14:paraId="1D8E3C92" w14:textId="77777777" w:rsidR="00000000" w:rsidRDefault="00000000">
            <w:pPr>
              <w:pStyle w:val="sectioncolumnvaluep"/>
            </w:pPr>
            <w:r>
              <w:br/>
            </w:r>
            <w:r>
              <w:rPr>
                <w:b/>
                <w:bCs/>
              </w:rPr>
              <w:t xml:space="preserve">1 </w:t>
            </w:r>
            <w:r>
              <w:t xml:space="preserve">- Diagnosis of mild to moderate Type 1 Gaucher’s disease </w:t>
            </w:r>
          </w:p>
          <w:p w14:paraId="74B67378" w14:textId="77777777" w:rsidR="00000000" w:rsidRDefault="00000000">
            <w:pPr>
              <w:pStyle w:val="logicconnectorp"/>
            </w:pPr>
            <w:r>
              <w:rPr>
                <w:b/>
                <w:bCs/>
              </w:rPr>
              <w:br/>
              <w:t>AND</w:t>
            </w:r>
          </w:p>
          <w:p w14:paraId="1678B8E9" w14:textId="77777777" w:rsidR="00000000" w:rsidRDefault="00000000">
            <w:pPr>
              <w:pStyle w:val="sectioncolumnvaluep"/>
            </w:pPr>
            <w:r>
              <w:br/>
            </w:r>
            <w:r>
              <w:rPr>
                <w:b/>
                <w:bCs/>
              </w:rPr>
              <w:t xml:space="preserve">2 </w:t>
            </w:r>
            <w:r>
              <w:t xml:space="preserve">- For BRAND Zavesca requests ONLY: Submission of medical records (e.g., chart notes) or </w:t>
            </w:r>
            <w:r>
              <w:lastRenderedPageBreak/>
              <w:t xml:space="preserve">paid claims confirming a history of failure or intolerance to generic miglustat (applies to Brand Zavesca requests only) </w:t>
            </w:r>
          </w:p>
          <w:p w14:paraId="305A6EEE" w14:textId="77777777" w:rsidR="00000000" w:rsidRDefault="00000000">
            <w:pPr>
              <w:rPr>
                <w:rFonts w:eastAsia="Times New Roman"/>
              </w:rPr>
            </w:pPr>
          </w:p>
        </w:tc>
      </w:tr>
    </w:tbl>
    <w:p w14:paraId="77C978B5" w14:textId="77777777" w:rsidR="00000000" w:rsidRDefault="00000000">
      <w:pPr>
        <w:divId w:val="1874803789"/>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EC47395"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0728AEBE" w14:textId="77777777" w:rsidR="00000000" w:rsidRDefault="00000000">
            <w:pPr>
              <w:pStyle w:val="sectioncolumnvaluep"/>
            </w:pPr>
            <w:r>
              <w:t xml:space="preserve">Product Name:Cerdelga, Cerezyme, Elelyso, Vpriv, Brand Zavesca, generic miglustat </w:t>
            </w:r>
          </w:p>
        </w:tc>
      </w:tr>
      <w:tr w:rsidR="00000000" w14:paraId="1C6E9655"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192FCB0"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EF4B272" w14:textId="77777777" w:rsidR="00000000" w:rsidRDefault="00000000">
            <w:pPr>
              <w:pStyle w:val="sectioncolumnvaluep"/>
            </w:pPr>
            <w:r>
              <w:t xml:space="preserve">Type 1 Gaucher’s disease </w:t>
            </w:r>
          </w:p>
        </w:tc>
      </w:tr>
      <w:tr w:rsidR="00000000" w14:paraId="2803C9F7"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98A0954"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F94BC2D" w14:textId="77777777" w:rsidR="00000000" w:rsidRDefault="00000000">
            <w:pPr>
              <w:pStyle w:val="sectioncolumnvaluep"/>
            </w:pPr>
            <w:r>
              <w:t xml:space="preserve">12 month(s) </w:t>
            </w:r>
          </w:p>
        </w:tc>
      </w:tr>
      <w:tr w:rsidR="00000000" w14:paraId="79C08991"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467C460"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BE560D5" w14:textId="77777777" w:rsidR="00000000" w:rsidRDefault="00000000">
            <w:pPr>
              <w:pStyle w:val="sectioncolumnvaluep"/>
            </w:pPr>
            <w:r>
              <w:t xml:space="preserve">Reauthorization </w:t>
            </w:r>
          </w:p>
        </w:tc>
      </w:tr>
      <w:tr w:rsidR="00000000" w14:paraId="442F7ABE"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A6A76BC"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159FC44" w14:textId="77777777" w:rsidR="00000000" w:rsidRDefault="00000000">
            <w:pPr>
              <w:pStyle w:val="sectioncolumnvaluep"/>
            </w:pPr>
            <w:r>
              <w:t xml:space="preserve">Prior Authorization </w:t>
            </w:r>
          </w:p>
        </w:tc>
      </w:tr>
      <w:tr w:rsidR="00000000" w14:paraId="7DCC452D" w14:textId="77777777">
        <w:trPr>
          <w:divId w:val="1874803789"/>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C84B425" w14:textId="77777777" w:rsidR="00000000" w:rsidRDefault="00000000">
            <w:pPr>
              <w:rPr>
                <w:rFonts w:eastAsia="Times New Roman"/>
              </w:rPr>
            </w:pPr>
            <w:r>
              <w:rPr>
                <w:rFonts w:eastAsia="Times New Roman"/>
              </w:rPr>
              <w:br/>
            </w:r>
          </w:p>
          <w:p w14:paraId="39FFE993" w14:textId="77777777" w:rsidR="00000000" w:rsidRDefault="00000000">
            <w:pPr>
              <w:pStyle w:val="sectioncolumnvaluep"/>
            </w:pPr>
            <w:r>
              <w:rPr>
                <w:b/>
                <w:bCs/>
              </w:rPr>
              <w:t xml:space="preserve">Approval Criteria   </w:t>
            </w:r>
          </w:p>
          <w:p w14:paraId="29B0893D" w14:textId="77777777" w:rsidR="00000000" w:rsidRDefault="00000000">
            <w:pPr>
              <w:pStyle w:val="sectioncolumnvaluep"/>
            </w:pPr>
            <w:r>
              <w:br/>
            </w:r>
            <w:r>
              <w:rPr>
                <w:b/>
                <w:bCs/>
              </w:rPr>
              <w:t xml:space="preserve">1 </w:t>
            </w:r>
            <w:r>
              <w:t xml:space="preserve">- Documentation of positive clinical response to therapy </w:t>
            </w:r>
          </w:p>
          <w:p w14:paraId="748DC505" w14:textId="77777777" w:rsidR="00000000" w:rsidRDefault="00000000">
            <w:pPr>
              <w:rPr>
                <w:rFonts w:eastAsia="Times New Roman"/>
              </w:rPr>
            </w:pPr>
          </w:p>
        </w:tc>
      </w:tr>
    </w:tbl>
    <w:p w14:paraId="2086D300" w14:textId="77777777" w:rsidR="00000000" w:rsidRDefault="00000000">
      <w:pPr>
        <w:spacing w:after="240"/>
        <w:divId w:val="1874803789"/>
        <w:rPr>
          <w:rFonts w:ascii="Arial" w:eastAsia="Times New Roman" w:hAnsi="Arial" w:cs="Arial"/>
        </w:rPr>
      </w:pPr>
    </w:p>
    <w:p w14:paraId="6F596005" w14:textId="77777777" w:rsidR="00000000" w:rsidRDefault="00000000">
      <w:pPr>
        <w:pStyle w:val="sectionheaderp"/>
        <w:divId w:val="1874803789"/>
      </w:pPr>
      <w:r>
        <w:t xml:space="preserve">2 .  Revision History </w:t>
      </w:r>
    </w:p>
    <w:p w14:paraId="52C5826C" w14:textId="77777777" w:rsidR="00000000" w:rsidRDefault="00000000">
      <w:pPr>
        <w:divId w:val="1874803789"/>
        <w:rPr>
          <w:rFonts w:ascii="Arial" w:eastAsia="Times New Roman" w:hAnsi="Arial" w:cs="Arial"/>
        </w:rPr>
      </w:pPr>
    </w:p>
    <w:tbl>
      <w:tblPr>
        <w:tblW w:w="496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20"/>
        <w:gridCol w:w="6960"/>
      </w:tblGrid>
      <w:tr w:rsidR="00000000" w14:paraId="626C83C1" w14:textId="77777777">
        <w:trPr>
          <w:divId w:val="1874803789"/>
        </w:trPr>
        <w:tc>
          <w:tcPr>
            <w:tcW w:w="12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7E294492"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Date </w:t>
            </w:r>
          </w:p>
        </w:tc>
        <w:tc>
          <w:tcPr>
            <w:tcW w:w="37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10387EFE"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Notes </w:t>
            </w:r>
          </w:p>
        </w:tc>
      </w:tr>
      <w:tr w:rsidR="00000000" w14:paraId="0F50DC35" w14:textId="77777777">
        <w:trPr>
          <w:divId w:val="1874803789"/>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766C4" w14:textId="77777777" w:rsidR="00000000" w:rsidRDefault="00000000">
            <w:pPr>
              <w:rPr>
                <w:rFonts w:ascii="Arial" w:eastAsia="Times New Roman" w:hAnsi="Arial" w:cs="Arial"/>
                <w:sz w:val="22"/>
                <w:szCs w:val="22"/>
              </w:rPr>
            </w:pPr>
          </w:p>
        </w:tc>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E5D5F" w14:textId="77777777" w:rsidR="00000000" w:rsidRDefault="00000000">
            <w:pPr>
              <w:wordWrap w:val="0"/>
              <w:rPr>
                <w:rFonts w:ascii="Arial" w:eastAsia="Times New Roman" w:hAnsi="Arial" w:cs="Arial"/>
                <w:sz w:val="22"/>
                <w:szCs w:val="22"/>
              </w:rPr>
            </w:pPr>
            <w:r>
              <w:rPr>
                <w:rFonts w:ascii="Arial" w:eastAsia="Times New Roman" w:hAnsi="Arial" w:cs="Arial"/>
                <w:sz w:val="22"/>
                <w:szCs w:val="22"/>
              </w:rPr>
              <w:t xml:space="preserve">P&amp;T Changes: Cerezyme, Cerdelga, and Vpriv to NP. Step through generic miglustat/Elelyso.Removed step through Brand Zavesca. </w:t>
            </w:r>
          </w:p>
        </w:tc>
      </w:tr>
    </w:tbl>
    <w:p w14:paraId="2C1C96CD" w14:textId="77777777" w:rsidR="00000000" w:rsidRDefault="00000000">
      <w:pPr>
        <w:divId w:val="1874803789"/>
        <w:rPr>
          <w:rFonts w:eastAsia="Times New Roman"/>
        </w:rPr>
      </w:pPr>
    </w:p>
    <w:p w14:paraId="5FD1FD21" w14:textId="77777777" w:rsidR="00447855" w:rsidRDefault="00000000">
      <w:pPr>
        <w:pStyle w:val="IndexStyle"/>
        <w:pageBreakBefore/>
      </w:pPr>
      <w:bookmarkStart w:id="1" w:name="_Toc193378716"/>
      <w:r>
        <w:lastRenderedPageBreak/>
        <w:t>GLP-1 Agonists - AZM</w:t>
      </w:r>
      <w:bookmarkEnd w:id="1"/>
    </w:p>
    <w:p w14:paraId="15E8BFD8" w14:textId="77777777" w:rsidR="00000000" w:rsidRDefault="00000000">
      <w:pPr>
        <w:spacing w:after="240"/>
        <w:divId w:val="2118794816"/>
        <w:rPr>
          <w:rFonts w:eastAsia="Times New Roman"/>
          <w:kern w:val="0"/>
          <w14:ligatures w14:val="none"/>
        </w:rPr>
      </w:pPr>
      <w:r>
        <w:rPr>
          <w:noProof/>
          <w:sz w:val="20"/>
          <w:szCs w:val="20"/>
        </w:rPr>
        <w:drawing>
          <wp:anchor distT="0" distB="0" distL="0" distR="0" simplePos="0" relativeHeight="251661312" behindDoc="0" locked="0" layoutInCell="1" allowOverlap="0" wp14:anchorId="55B3DA67" wp14:editId="6FCE7F61">
            <wp:simplePos x="0" y="0"/>
            <wp:positionH relativeFrom="column">
              <wp:align>left</wp:align>
            </wp:positionH>
            <wp:positionV relativeFrom="line">
              <wp:posOffset>0</wp:posOffset>
            </wp:positionV>
            <wp:extent cx="2190750" cy="485775"/>
            <wp:effectExtent l="0" t="0" r="0" b="0"/>
            <wp:wrapSquare wrapText="bothSides"/>
            <wp:docPr id="1949838031" name="Picture 19498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487AE" w14:textId="77777777" w:rsidR="00000000" w:rsidRDefault="00000000">
      <w:pPr>
        <w:pStyle w:val="NormalWeb"/>
        <w:jc w:val="center"/>
        <w:divId w:val="2118794816"/>
      </w:pPr>
      <w:r>
        <w:rPr>
          <w:b/>
          <w:bCs/>
        </w:rPr>
        <w:t> </w:t>
      </w:r>
    </w:p>
    <w:p w14:paraId="37A5D941" w14:textId="77777777" w:rsidR="00000000" w:rsidRDefault="00000000">
      <w:pPr>
        <w:pStyle w:val="NormalWeb"/>
        <w:jc w:val="center"/>
        <w:divId w:val="2118794816"/>
      </w:pPr>
      <w:r>
        <w:rPr>
          <w:b/>
          <w:bCs/>
        </w:rPr>
        <w:t> </w:t>
      </w:r>
    </w:p>
    <w:p w14:paraId="708C718B" w14:textId="77777777" w:rsidR="00000000" w:rsidRDefault="00000000">
      <w:pPr>
        <w:pStyle w:val="documenttitle"/>
        <w:divId w:val="2118794816"/>
      </w:pPr>
      <w:r>
        <w:rPr>
          <w:b/>
          <w:bCs/>
        </w:rPr>
        <w:t>Prior Authorization Guideline</w:t>
      </w:r>
    </w:p>
    <w:p w14:paraId="56ECE704" w14:textId="77777777" w:rsidR="00000000" w:rsidRDefault="00000000">
      <w:pPr>
        <w:pStyle w:val="NormalWeb"/>
        <w:spacing w:before="0" w:beforeAutospacing="0" w:after="0" w:afterAutospacing="0"/>
        <w:divId w:val="2118794816"/>
      </w:pPr>
      <w:r>
        <w:br/>
        <w:t> </w:t>
      </w: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4A618E46" w14:textId="77777777">
        <w:trPr>
          <w:divId w:val="211879481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6778AA" w14:textId="77777777" w:rsidR="00000000" w:rsidRDefault="00000000">
            <w:pPr>
              <w:pStyle w:val="sectioncolumnp"/>
            </w:pPr>
            <w:r>
              <w:t>Guideline ID</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718D0764" w14:textId="77777777" w:rsidR="00000000" w:rsidRDefault="00000000">
            <w:pPr>
              <w:pStyle w:val="sectioncolumnvaluep"/>
            </w:pPr>
            <w:r>
              <w:t xml:space="preserve">GL-219231 </w:t>
            </w:r>
          </w:p>
        </w:tc>
      </w:tr>
      <w:tr w:rsidR="00000000" w14:paraId="2829BD66" w14:textId="77777777">
        <w:trPr>
          <w:divId w:val="211879481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9BF284" w14:textId="77777777" w:rsidR="00000000" w:rsidRDefault="00000000">
            <w:pPr>
              <w:pStyle w:val="sectioncolumnp"/>
            </w:pPr>
            <w:r>
              <w:t>Guideline Name</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48B378AF" w14:textId="77777777" w:rsidR="00000000" w:rsidRDefault="00000000">
            <w:pPr>
              <w:pStyle w:val="sectioncolumnvaluep"/>
            </w:pPr>
            <w:r>
              <w:t xml:space="preserve">GLP-1 Agonists - AZM </w:t>
            </w:r>
          </w:p>
        </w:tc>
      </w:tr>
      <w:tr w:rsidR="00000000" w14:paraId="04D19557" w14:textId="77777777">
        <w:trPr>
          <w:divId w:val="211879481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53B424" w14:textId="77777777" w:rsidR="00000000" w:rsidRDefault="00000000">
            <w:pPr>
              <w:pStyle w:val="sectioncolumnp"/>
            </w:pPr>
            <w:r>
              <w:t>Formulary</w:t>
            </w:r>
          </w:p>
        </w:tc>
        <w:tc>
          <w:tcPr>
            <w:tcW w:w="3750" w:type="pct"/>
            <w:hideMark/>
          </w:tcPr>
          <w:p w14:paraId="7A32AADB" w14:textId="77777777" w:rsidR="00000000" w:rsidRDefault="00000000">
            <w:pPr>
              <w:pStyle w:val="sectioncolumnvaluep"/>
              <w:numPr>
                <w:ilvl w:val="0"/>
                <w:numId w:val="6"/>
              </w:numPr>
              <w:rPr>
                <w:rFonts w:eastAsia="Times New Roman"/>
              </w:rPr>
            </w:pPr>
            <w:r>
              <w:rPr>
                <w:rFonts w:eastAsia="Times New Roman"/>
              </w:rPr>
              <w:t xml:space="preserve">Medicaid - Arizona (AZM, AZMREF, AZMDDD) </w:t>
            </w:r>
          </w:p>
        </w:tc>
      </w:tr>
    </w:tbl>
    <w:p w14:paraId="775ACECB" w14:textId="77777777" w:rsidR="00000000" w:rsidRDefault="00000000">
      <w:pPr>
        <w:spacing w:after="240"/>
        <w:divId w:val="2118794816"/>
        <w:rPr>
          <w:rFonts w:ascii="Arial" w:eastAsia="Times New Roman" w:hAnsi="Arial" w:cs="Arial"/>
        </w:rPr>
      </w:pPr>
      <w:r>
        <w:rPr>
          <w:rFonts w:ascii="Arial" w:eastAsia="Times New Roman" w:hAnsi="Arial" w:cs="Arial"/>
        </w:rPr>
        <w:br/>
      </w:r>
    </w:p>
    <w:p w14:paraId="71BC37AE" w14:textId="77777777" w:rsidR="00000000" w:rsidRDefault="00000000">
      <w:pPr>
        <w:pStyle w:val="sectionheaderp"/>
        <w:divId w:val="2118794816"/>
      </w:pPr>
      <w:r>
        <w:t>Guideline Note:</w:t>
      </w:r>
    </w:p>
    <w:tbl>
      <w:tblPr>
        <w:tblW w:w="49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2"/>
        <w:gridCol w:w="6935"/>
      </w:tblGrid>
      <w:tr w:rsidR="00000000" w14:paraId="7A622537"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CB10AD1" w14:textId="77777777" w:rsidR="00000000" w:rsidRDefault="00000000">
            <w:pPr>
              <w:pStyle w:val="sectioncolumnvaluep"/>
            </w:pPr>
            <w:r>
              <w:t>Effective Date: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EF8D077" w14:textId="77777777" w:rsidR="00000000" w:rsidRDefault="00000000">
            <w:pPr>
              <w:pStyle w:val="sectioncolumnvaluep"/>
            </w:pPr>
            <w:r>
              <w:t xml:space="preserve">4/1/2025 </w:t>
            </w:r>
          </w:p>
        </w:tc>
      </w:tr>
    </w:tbl>
    <w:p w14:paraId="223AB3D5" w14:textId="77777777" w:rsidR="00000000" w:rsidRDefault="00000000">
      <w:pPr>
        <w:divId w:val="2118794816"/>
        <w:rPr>
          <w:rFonts w:ascii="Arial" w:eastAsia="Times New Roman" w:hAnsi="Arial" w:cs="Arial"/>
        </w:rPr>
      </w:pPr>
      <w:r>
        <w:rPr>
          <w:rFonts w:ascii="Arial" w:eastAsia="Times New Roman" w:hAnsi="Arial" w:cs="Arial"/>
        </w:rPr>
        <w:br/>
      </w:r>
    </w:p>
    <w:p w14:paraId="4111A7CE" w14:textId="77777777" w:rsidR="00000000" w:rsidRDefault="00000000">
      <w:pPr>
        <w:spacing w:after="240"/>
        <w:divId w:val="2118794816"/>
        <w:rPr>
          <w:rFonts w:ascii="Arial" w:eastAsia="Times New Roman" w:hAnsi="Arial" w:cs="Arial"/>
        </w:rPr>
      </w:pPr>
      <w:r>
        <w:rPr>
          <w:rFonts w:ascii="Arial" w:eastAsia="Times New Roman" w:hAnsi="Arial" w:cs="Arial"/>
        </w:rPr>
        <w:br/>
      </w:r>
    </w:p>
    <w:p w14:paraId="5D5F50DE" w14:textId="77777777" w:rsidR="00000000" w:rsidRDefault="00000000">
      <w:pPr>
        <w:pStyle w:val="sectionheaderp"/>
        <w:divId w:val="2118794816"/>
      </w:pPr>
      <w:r>
        <w:t>1 .  Criteria</w:t>
      </w:r>
    </w:p>
    <w:p w14:paraId="2CAE35FB" w14:textId="77777777" w:rsidR="00000000" w:rsidRDefault="00000000">
      <w:pPr>
        <w:divId w:val="211879481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6ADB316"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3259B627" w14:textId="77777777" w:rsidR="00000000" w:rsidRDefault="00000000">
            <w:pPr>
              <w:pStyle w:val="sectioncolumnvaluep"/>
            </w:pPr>
            <w:r>
              <w:t xml:space="preserve">Product Name:Preferred Drugs: Bydureon, Byetta, Trulicity, Brand Victoza </w:t>
            </w:r>
          </w:p>
        </w:tc>
      </w:tr>
      <w:tr w:rsidR="00000000" w14:paraId="42A8ED5F"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0BC2052"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C30AEA7" w14:textId="77777777" w:rsidR="00000000" w:rsidRDefault="00000000">
            <w:pPr>
              <w:pStyle w:val="sectioncolumnvaluep"/>
            </w:pPr>
            <w:r>
              <w:t xml:space="preserve">12 month(s) </w:t>
            </w:r>
          </w:p>
        </w:tc>
      </w:tr>
      <w:tr w:rsidR="00000000" w14:paraId="4F8E3CD2"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5A731E5"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A321CF8" w14:textId="77777777" w:rsidR="00000000" w:rsidRDefault="00000000">
            <w:pPr>
              <w:pStyle w:val="sectioncolumnvaluep"/>
            </w:pPr>
            <w:r>
              <w:t xml:space="preserve">Prior Authorization </w:t>
            </w:r>
          </w:p>
        </w:tc>
      </w:tr>
      <w:tr w:rsidR="00000000" w14:paraId="10483DC9"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EC01F41" w14:textId="77777777" w:rsidR="00000000" w:rsidRDefault="00000000">
            <w:pPr>
              <w:rPr>
                <w:rFonts w:eastAsia="Times New Roman"/>
              </w:rPr>
            </w:pPr>
            <w:r>
              <w:rPr>
                <w:rFonts w:eastAsia="Times New Roman"/>
              </w:rPr>
              <w:br/>
            </w:r>
          </w:p>
          <w:p w14:paraId="4B7BC7B8" w14:textId="77777777" w:rsidR="00000000" w:rsidRDefault="00000000">
            <w:pPr>
              <w:pStyle w:val="sectioncolumnvaluep"/>
            </w:pPr>
            <w:r>
              <w:rPr>
                <w:b/>
                <w:bCs/>
              </w:rPr>
              <w:t xml:space="preserve">Approval Criteria   </w:t>
            </w:r>
          </w:p>
          <w:p w14:paraId="66A9C624" w14:textId="77777777" w:rsidR="00000000" w:rsidRDefault="00000000">
            <w:pPr>
              <w:pStyle w:val="sectioncolumnvaluep"/>
            </w:pPr>
            <w:r>
              <w:br/>
            </w:r>
            <w:r>
              <w:rPr>
                <w:b/>
                <w:bCs/>
              </w:rPr>
              <w:t xml:space="preserve">1 </w:t>
            </w:r>
            <w:r>
              <w:t xml:space="preserve">- Both of the following: </w:t>
            </w:r>
          </w:p>
          <w:p w14:paraId="1A234D4A" w14:textId="77777777" w:rsidR="00000000" w:rsidRDefault="00000000">
            <w:pPr>
              <w:pStyle w:val="sectioncolumnvaluep"/>
            </w:pPr>
            <w:r>
              <w:rPr>
                <w:b/>
                <w:bCs/>
              </w:rPr>
              <w:br/>
              <w:t xml:space="preserve"> 1.1 </w:t>
            </w:r>
            <w:r>
              <w:t xml:space="preserve">Submission of medical records (e.g. chart notes, lab work, imaging) confirming both of the following: </w:t>
            </w:r>
          </w:p>
          <w:p w14:paraId="5758CD2C" w14:textId="77777777" w:rsidR="00000000" w:rsidRDefault="00000000">
            <w:pPr>
              <w:numPr>
                <w:ilvl w:val="0"/>
                <w:numId w:val="7"/>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04C40128" w14:textId="77777777" w:rsidR="00000000" w:rsidRDefault="00000000">
            <w:pPr>
              <w:numPr>
                <w:ilvl w:val="0"/>
                <w:numId w:val="7"/>
              </w:numPr>
              <w:spacing w:before="100" w:beforeAutospacing="1" w:after="100" w:afterAutospacing="1" w:line="240" w:lineRule="auto"/>
              <w:rPr>
                <w:rFonts w:eastAsia="Times New Roman"/>
              </w:rPr>
            </w:pPr>
            <w:r>
              <w:rPr>
                <w:rFonts w:ascii="Arial" w:eastAsia="Times New Roman" w:hAnsi="Arial" w:cs="Arial"/>
                <w:sz w:val="22"/>
                <w:szCs w:val="22"/>
              </w:rPr>
              <w:lastRenderedPageBreak/>
              <w:t xml:space="preserve">Baseline A1C greater than or equal to 6.5% </w:t>
            </w:r>
          </w:p>
          <w:p w14:paraId="6E6D0BC8" w14:textId="77777777" w:rsidR="00000000" w:rsidRDefault="00000000">
            <w:pPr>
              <w:pStyle w:val="logicconnectorp"/>
            </w:pPr>
            <w:r>
              <w:rPr>
                <w:b/>
                <w:bCs/>
              </w:rPr>
              <w:br/>
              <w:t>AND</w:t>
            </w:r>
          </w:p>
          <w:p w14:paraId="6869F6F5" w14:textId="77777777" w:rsidR="00000000" w:rsidRDefault="00000000">
            <w:pPr>
              <w:pStyle w:val="sectioncolumnvaluep"/>
            </w:pPr>
            <w:r>
              <w:rPr>
                <w:b/>
                <w:bCs/>
              </w:rPr>
              <w:br/>
              <w:t xml:space="preserve"> 1.2 </w:t>
            </w:r>
            <w:r>
              <w:t xml:space="preserve">History of failure to metformin at a minimum dose of 1500 milligrams (mg) daily for 90 days, or contraindication or intolerance to metformin (verified via paid pharmacy claims or submission of medical records) </w:t>
            </w:r>
          </w:p>
          <w:p w14:paraId="44340638" w14:textId="77777777" w:rsidR="00000000" w:rsidRDefault="00000000">
            <w:pPr>
              <w:pStyle w:val="logicconnectorp"/>
            </w:pPr>
            <w:r>
              <w:rPr>
                <w:b/>
                <w:bCs/>
              </w:rPr>
              <w:br/>
              <w:t>AND</w:t>
            </w:r>
          </w:p>
          <w:p w14:paraId="1ADF7DCB" w14:textId="77777777" w:rsidR="00000000" w:rsidRDefault="00000000">
            <w:pPr>
              <w:pStyle w:val="sectioncolumnvaluep"/>
            </w:pPr>
            <w:r>
              <w:br/>
            </w:r>
            <w:r>
              <w:rPr>
                <w:b/>
                <w:bCs/>
              </w:rPr>
              <w:t xml:space="preserve">2 </w:t>
            </w:r>
            <w:r>
              <w:t xml:space="preserve">- Patient is 10 years of age or older </w:t>
            </w:r>
          </w:p>
          <w:p w14:paraId="0AE99A5C" w14:textId="77777777" w:rsidR="00000000" w:rsidRDefault="00000000">
            <w:pPr>
              <w:pStyle w:val="logicconnectorp"/>
            </w:pPr>
            <w:r>
              <w:rPr>
                <w:b/>
                <w:bCs/>
              </w:rPr>
              <w:br/>
              <w:t>AND</w:t>
            </w:r>
          </w:p>
          <w:p w14:paraId="3ED36515" w14:textId="77777777" w:rsidR="00000000" w:rsidRDefault="00000000">
            <w:pPr>
              <w:pStyle w:val="sectioncolumnvaluep"/>
            </w:pPr>
            <w:r>
              <w:br/>
            </w:r>
            <w:r>
              <w:rPr>
                <w:b/>
                <w:bCs/>
              </w:rPr>
              <w:t xml:space="preserve">3 </w:t>
            </w:r>
            <w:r>
              <w:t xml:space="preserve">- Drug is not solely being used for weight loss </w:t>
            </w:r>
          </w:p>
          <w:p w14:paraId="4ED9B02B" w14:textId="77777777" w:rsidR="00000000" w:rsidRDefault="00000000">
            <w:pPr>
              <w:rPr>
                <w:rFonts w:eastAsia="Times New Roman"/>
              </w:rPr>
            </w:pPr>
          </w:p>
        </w:tc>
      </w:tr>
      <w:tr w:rsidR="00000000" w14:paraId="068A4B32"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E770B88" w14:textId="77777777" w:rsidR="00000000" w:rsidRDefault="00000000">
            <w:pPr>
              <w:pStyle w:val="sectioncolumnvaluep"/>
              <w:wordWrap w:val="0"/>
            </w:pPr>
            <w:r>
              <w:lastRenderedPageBreak/>
              <w:t xml:space="preserve">Notes </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8022D21" w14:textId="77777777" w:rsidR="00000000" w:rsidRDefault="00000000">
            <w:pPr>
              <w:pStyle w:val="sectioncolumnvaluep"/>
              <w:wordWrap w:val="0"/>
            </w:pPr>
            <w:r>
              <w:t>If requested medication is being used solely for appetite suppression or weight loss – deny the case for Plan Exclusion. For all other indications deny the case for medical necessity and do not review for off-label use.</w:t>
            </w:r>
          </w:p>
        </w:tc>
      </w:tr>
    </w:tbl>
    <w:p w14:paraId="0273688D" w14:textId="77777777" w:rsidR="00000000" w:rsidRDefault="00000000">
      <w:pPr>
        <w:divId w:val="211879481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5486573"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207EA338" w14:textId="77777777" w:rsidR="00000000" w:rsidRDefault="00000000">
            <w:pPr>
              <w:pStyle w:val="sectioncolumnvaluep"/>
            </w:pPr>
            <w:r>
              <w:t xml:space="preserve">Product Name:Non-Preferred Drugs: Adlyxin, Bydureon BCise, Brand Liraglutide, Mounjaro, Ozempic </w:t>
            </w:r>
          </w:p>
        </w:tc>
      </w:tr>
      <w:tr w:rsidR="00000000" w14:paraId="4FB86F5F"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568CFE9"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0FCDD09" w14:textId="77777777" w:rsidR="00000000" w:rsidRDefault="00000000">
            <w:pPr>
              <w:pStyle w:val="sectioncolumnvaluep"/>
            </w:pPr>
            <w:r>
              <w:t xml:space="preserve">12 month(s) </w:t>
            </w:r>
          </w:p>
        </w:tc>
      </w:tr>
      <w:tr w:rsidR="00000000" w14:paraId="702445C0"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19565D4"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B705973" w14:textId="77777777" w:rsidR="00000000" w:rsidRDefault="00000000">
            <w:pPr>
              <w:pStyle w:val="sectioncolumnvaluep"/>
            </w:pPr>
            <w:r>
              <w:t xml:space="preserve">Prior Authorization </w:t>
            </w:r>
          </w:p>
        </w:tc>
      </w:tr>
      <w:tr w:rsidR="00000000" w14:paraId="5D3A3109"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A94C0B3" w14:textId="77777777" w:rsidR="00000000" w:rsidRDefault="00000000">
            <w:pPr>
              <w:rPr>
                <w:rFonts w:eastAsia="Times New Roman"/>
              </w:rPr>
            </w:pPr>
            <w:r>
              <w:rPr>
                <w:rFonts w:eastAsia="Times New Roman"/>
              </w:rPr>
              <w:br/>
            </w:r>
          </w:p>
          <w:p w14:paraId="77B166DE" w14:textId="77777777" w:rsidR="00000000" w:rsidRDefault="00000000">
            <w:pPr>
              <w:pStyle w:val="sectioncolumnvaluep"/>
            </w:pPr>
            <w:r>
              <w:rPr>
                <w:b/>
                <w:bCs/>
              </w:rPr>
              <w:t xml:space="preserve">Approval Criteria   </w:t>
            </w:r>
          </w:p>
          <w:p w14:paraId="6BC45CAA" w14:textId="77777777" w:rsidR="00000000" w:rsidRDefault="00000000">
            <w:pPr>
              <w:pStyle w:val="sectioncolumnvaluep"/>
            </w:pPr>
            <w:r>
              <w:br/>
            </w:r>
            <w:r>
              <w:rPr>
                <w:b/>
                <w:bCs/>
              </w:rPr>
              <w:t xml:space="preserve">1 </w:t>
            </w:r>
            <w:r>
              <w:t xml:space="preserve">- Both of the following: </w:t>
            </w:r>
          </w:p>
          <w:p w14:paraId="6723D613" w14:textId="77777777" w:rsidR="00000000" w:rsidRDefault="00000000">
            <w:pPr>
              <w:pStyle w:val="sectioncolumnvaluep"/>
            </w:pPr>
            <w:r>
              <w:rPr>
                <w:b/>
                <w:bCs/>
              </w:rPr>
              <w:br/>
              <w:t xml:space="preserve"> 1.1 </w:t>
            </w:r>
            <w:r>
              <w:t xml:space="preserve">Submission of medical records (e.g. chart notes, lab work, imaging) confirming both of the following: </w:t>
            </w:r>
          </w:p>
          <w:p w14:paraId="64D87B87" w14:textId="77777777" w:rsidR="00000000" w:rsidRDefault="00000000">
            <w:pPr>
              <w:numPr>
                <w:ilvl w:val="0"/>
                <w:numId w:val="8"/>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6007E812" w14:textId="77777777" w:rsidR="00000000" w:rsidRDefault="00000000">
            <w:pPr>
              <w:numPr>
                <w:ilvl w:val="0"/>
                <w:numId w:val="8"/>
              </w:numPr>
              <w:spacing w:before="100" w:beforeAutospacing="1" w:after="100" w:afterAutospacing="1" w:line="240" w:lineRule="auto"/>
              <w:rPr>
                <w:rFonts w:eastAsia="Times New Roman"/>
              </w:rPr>
            </w:pPr>
            <w:r>
              <w:rPr>
                <w:rFonts w:ascii="Arial" w:eastAsia="Times New Roman" w:hAnsi="Arial" w:cs="Arial"/>
                <w:sz w:val="22"/>
                <w:szCs w:val="22"/>
              </w:rPr>
              <w:t xml:space="preserve">Baseline A1C greater than or equal to 6.5% </w:t>
            </w:r>
          </w:p>
          <w:p w14:paraId="2A5EE850" w14:textId="77777777" w:rsidR="00000000" w:rsidRDefault="00000000">
            <w:pPr>
              <w:pStyle w:val="logicconnectorp"/>
            </w:pPr>
            <w:r>
              <w:rPr>
                <w:b/>
                <w:bCs/>
              </w:rPr>
              <w:br/>
            </w:r>
            <w:r>
              <w:rPr>
                <w:b/>
                <w:bCs/>
              </w:rPr>
              <w:lastRenderedPageBreak/>
              <w:t>AND</w:t>
            </w:r>
          </w:p>
          <w:p w14:paraId="1602FC83" w14:textId="77777777" w:rsidR="00000000" w:rsidRDefault="00000000">
            <w:pPr>
              <w:pStyle w:val="sectioncolumnvaluep"/>
            </w:pPr>
            <w:r>
              <w:rPr>
                <w:b/>
                <w:bCs/>
              </w:rPr>
              <w:br/>
              <w:t xml:space="preserve"> 1.2 </w:t>
            </w:r>
            <w:r>
              <w:t xml:space="preserve">History of failure to metformin at a minimum dose of 1500 milligrams (mg) daily for 90 days, or contraindication or intolerance to metformin (verified via paid pharmacy claims or submission of medical records) </w:t>
            </w:r>
          </w:p>
          <w:p w14:paraId="0B9DF0F4" w14:textId="77777777" w:rsidR="00000000" w:rsidRDefault="00000000">
            <w:pPr>
              <w:pStyle w:val="logicconnectorp"/>
            </w:pPr>
            <w:r>
              <w:rPr>
                <w:b/>
                <w:bCs/>
              </w:rPr>
              <w:br/>
              <w:t>AND</w:t>
            </w:r>
          </w:p>
          <w:p w14:paraId="45317F6E" w14:textId="77777777" w:rsidR="00000000" w:rsidRDefault="00000000">
            <w:pPr>
              <w:pStyle w:val="sectioncolumnvaluep"/>
            </w:pPr>
            <w:r>
              <w:br/>
            </w:r>
            <w:r>
              <w:rPr>
                <w:b/>
                <w:bCs/>
              </w:rPr>
              <w:t xml:space="preserve">2 </w:t>
            </w:r>
            <w:r>
              <w:t xml:space="preserve">- History of a 90 day trial per member's pharmacy claims resulting in a therapeutic failure, contraindication, or intolerance to ALL of the following (verified via paid pharmacy claims or submission of medical records): </w:t>
            </w:r>
          </w:p>
          <w:p w14:paraId="16F2810B" w14:textId="77777777" w:rsidR="00000000" w:rsidRDefault="00000000">
            <w:pPr>
              <w:numPr>
                <w:ilvl w:val="0"/>
                <w:numId w:val="9"/>
              </w:numPr>
              <w:spacing w:before="100" w:beforeAutospacing="1" w:after="100" w:afterAutospacing="1" w:line="240" w:lineRule="auto"/>
              <w:rPr>
                <w:rFonts w:eastAsia="Times New Roman"/>
              </w:rPr>
            </w:pPr>
            <w:r>
              <w:rPr>
                <w:rFonts w:ascii="Arial" w:eastAsia="Times New Roman" w:hAnsi="Arial" w:cs="Arial"/>
                <w:sz w:val="22"/>
                <w:szCs w:val="22"/>
              </w:rPr>
              <w:t xml:space="preserve">Byetta </w:t>
            </w:r>
          </w:p>
          <w:p w14:paraId="704D53EB" w14:textId="77777777" w:rsidR="00000000" w:rsidRDefault="00000000">
            <w:pPr>
              <w:numPr>
                <w:ilvl w:val="0"/>
                <w:numId w:val="9"/>
              </w:numPr>
              <w:spacing w:before="100" w:beforeAutospacing="1" w:after="100" w:afterAutospacing="1" w:line="240" w:lineRule="auto"/>
              <w:rPr>
                <w:rFonts w:eastAsia="Times New Roman"/>
              </w:rPr>
            </w:pPr>
            <w:r>
              <w:rPr>
                <w:rFonts w:ascii="Arial" w:eastAsia="Times New Roman" w:hAnsi="Arial" w:cs="Arial"/>
                <w:sz w:val="22"/>
                <w:szCs w:val="22"/>
              </w:rPr>
              <w:t xml:space="preserve">Brand Victoza </w:t>
            </w:r>
          </w:p>
          <w:p w14:paraId="61993ECD" w14:textId="77777777" w:rsidR="00000000" w:rsidRDefault="00000000">
            <w:pPr>
              <w:numPr>
                <w:ilvl w:val="0"/>
                <w:numId w:val="9"/>
              </w:numPr>
              <w:spacing w:before="100" w:beforeAutospacing="1" w:after="100" w:afterAutospacing="1" w:line="240" w:lineRule="auto"/>
              <w:rPr>
                <w:rFonts w:eastAsia="Times New Roman"/>
              </w:rPr>
            </w:pPr>
            <w:r>
              <w:rPr>
                <w:rFonts w:ascii="Arial" w:eastAsia="Times New Roman" w:hAnsi="Arial" w:cs="Arial"/>
                <w:sz w:val="22"/>
                <w:szCs w:val="22"/>
              </w:rPr>
              <w:t xml:space="preserve">Trulicity </w:t>
            </w:r>
          </w:p>
          <w:p w14:paraId="4F0B35FC" w14:textId="77777777" w:rsidR="00000000" w:rsidRDefault="00000000">
            <w:pPr>
              <w:pStyle w:val="logicconnectorp"/>
            </w:pPr>
            <w:r>
              <w:rPr>
                <w:b/>
                <w:bCs/>
              </w:rPr>
              <w:br/>
              <w:t>AND</w:t>
            </w:r>
          </w:p>
          <w:p w14:paraId="7C22D385" w14:textId="77777777" w:rsidR="00000000" w:rsidRDefault="00000000">
            <w:pPr>
              <w:pStyle w:val="sectioncolumnvaluep"/>
            </w:pPr>
            <w:r>
              <w:br/>
            </w:r>
            <w:r>
              <w:rPr>
                <w:b/>
                <w:bCs/>
              </w:rPr>
              <w:t xml:space="preserve">3 </w:t>
            </w:r>
            <w:r>
              <w:t xml:space="preserve">- One of the following: </w:t>
            </w:r>
          </w:p>
          <w:p w14:paraId="5F198063" w14:textId="77777777" w:rsidR="00000000" w:rsidRDefault="00000000">
            <w:pPr>
              <w:numPr>
                <w:ilvl w:val="0"/>
                <w:numId w:val="10"/>
              </w:numPr>
              <w:spacing w:before="100" w:beforeAutospacing="1" w:after="100" w:afterAutospacing="1" w:line="240" w:lineRule="auto"/>
              <w:rPr>
                <w:rFonts w:eastAsia="Times New Roman"/>
              </w:rPr>
            </w:pPr>
            <w:r>
              <w:rPr>
                <w:rFonts w:ascii="Arial" w:eastAsia="Times New Roman" w:hAnsi="Arial" w:cs="Arial"/>
                <w:sz w:val="22"/>
                <w:szCs w:val="22"/>
              </w:rPr>
              <w:t xml:space="preserve">For Bydureon BC ONLY: Patient is 10 years of age or older </w:t>
            </w:r>
          </w:p>
          <w:p w14:paraId="705F4588" w14:textId="77777777" w:rsidR="00000000" w:rsidRDefault="00000000">
            <w:pPr>
              <w:numPr>
                <w:ilvl w:val="0"/>
                <w:numId w:val="10"/>
              </w:numPr>
              <w:spacing w:before="100" w:beforeAutospacing="1" w:after="100" w:afterAutospacing="1" w:line="240" w:lineRule="auto"/>
              <w:rPr>
                <w:rFonts w:eastAsia="Times New Roman"/>
              </w:rPr>
            </w:pPr>
            <w:r>
              <w:rPr>
                <w:rFonts w:ascii="Arial" w:eastAsia="Times New Roman" w:hAnsi="Arial" w:cs="Arial"/>
                <w:sz w:val="22"/>
                <w:szCs w:val="22"/>
              </w:rPr>
              <w:t xml:space="preserve">For Adlyxin, Mounjaro, Ozempic ONLY: Patient is 18 years of age or older </w:t>
            </w:r>
          </w:p>
          <w:p w14:paraId="11FB5E02" w14:textId="77777777" w:rsidR="00000000" w:rsidRDefault="00000000">
            <w:pPr>
              <w:pStyle w:val="logicconnectorp"/>
            </w:pPr>
            <w:r>
              <w:rPr>
                <w:b/>
                <w:bCs/>
              </w:rPr>
              <w:br/>
              <w:t>AND</w:t>
            </w:r>
          </w:p>
          <w:p w14:paraId="73521FE8" w14:textId="77777777" w:rsidR="00000000" w:rsidRDefault="00000000">
            <w:pPr>
              <w:pStyle w:val="sectioncolumnvaluep"/>
            </w:pPr>
            <w:r>
              <w:br/>
            </w:r>
            <w:r>
              <w:rPr>
                <w:b/>
                <w:bCs/>
              </w:rPr>
              <w:t xml:space="preserve">4 </w:t>
            </w:r>
            <w:r>
              <w:t xml:space="preserve">- Drug is not solely being used for weight loss </w:t>
            </w:r>
          </w:p>
          <w:p w14:paraId="309EF56D" w14:textId="77777777" w:rsidR="00000000" w:rsidRDefault="00000000">
            <w:pPr>
              <w:rPr>
                <w:rFonts w:eastAsia="Times New Roman"/>
              </w:rPr>
            </w:pPr>
          </w:p>
        </w:tc>
      </w:tr>
      <w:tr w:rsidR="00000000" w14:paraId="64DA2F68"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C780954" w14:textId="77777777" w:rsidR="00000000" w:rsidRDefault="00000000">
            <w:pPr>
              <w:pStyle w:val="sectioncolumnvaluep"/>
              <w:wordWrap w:val="0"/>
            </w:pPr>
            <w:r>
              <w:lastRenderedPageBreak/>
              <w:t xml:space="preserve">Notes </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40A93F0" w14:textId="77777777" w:rsidR="00000000" w:rsidRDefault="00000000">
            <w:pPr>
              <w:pStyle w:val="sectioncolumnvaluep"/>
              <w:wordWrap w:val="0"/>
            </w:pPr>
            <w:r>
              <w:t>If requested medication is being used solely for appetite suppression or weight loss – deny the case for Plan Exclusion. For all other indications deny the case for medical necessity and do not review for off-label use.</w:t>
            </w:r>
          </w:p>
        </w:tc>
      </w:tr>
    </w:tbl>
    <w:p w14:paraId="2159A517" w14:textId="77777777" w:rsidR="00000000" w:rsidRDefault="00000000">
      <w:pPr>
        <w:divId w:val="211879481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50B2C46B"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071F23F3" w14:textId="77777777" w:rsidR="00000000" w:rsidRDefault="00000000">
            <w:pPr>
              <w:pStyle w:val="sectioncolumnvaluep"/>
            </w:pPr>
            <w:r>
              <w:t xml:space="preserve">Product Name:Non-Preferred: Rybelsus </w:t>
            </w:r>
          </w:p>
        </w:tc>
      </w:tr>
      <w:tr w:rsidR="00000000" w14:paraId="37F8DF3E"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5261DFA"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258E93E" w14:textId="77777777" w:rsidR="00000000" w:rsidRDefault="00000000">
            <w:pPr>
              <w:pStyle w:val="sectioncolumnvaluep"/>
            </w:pPr>
            <w:r>
              <w:t xml:space="preserve">12 month(s) </w:t>
            </w:r>
          </w:p>
        </w:tc>
      </w:tr>
      <w:tr w:rsidR="00000000" w14:paraId="620C4D9F"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19920B1"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A8817F7" w14:textId="77777777" w:rsidR="00000000" w:rsidRDefault="00000000">
            <w:pPr>
              <w:pStyle w:val="sectioncolumnvaluep"/>
            </w:pPr>
            <w:r>
              <w:t xml:space="preserve">Prior Authorization </w:t>
            </w:r>
          </w:p>
        </w:tc>
      </w:tr>
      <w:tr w:rsidR="00000000" w14:paraId="1307BD50" w14:textId="77777777">
        <w:trPr>
          <w:divId w:val="211879481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D0AC660" w14:textId="77777777" w:rsidR="00000000" w:rsidRDefault="00000000">
            <w:pPr>
              <w:rPr>
                <w:rFonts w:eastAsia="Times New Roman"/>
              </w:rPr>
            </w:pPr>
            <w:r>
              <w:rPr>
                <w:rFonts w:eastAsia="Times New Roman"/>
              </w:rPr>
              <w:br/>
            </w:r>
          </w:p>
          <w:p w14:paraId="7168FCC8" w14:textId="77777777" w:rsidR="00000000" w:rsidRDefault="00000000">
            <w:pPr>
              <w:pStyle w:val="sectioncolumnvaluep"/>
            </w:pPr>
            <w:r>
              <w:rPr>
                <w:b/>
                <w:bCs/>
              </w:rPr>
              <w:t xml:space="preserve">Approval Criteria   </w:t>
            </w:r>
          </w:p>
          <w:p w14:paraId="63B66F6D" w14:textId="77777777" w:rsidR="00000000" w:rsidRDefault="00000000">
            <w:pPr>
              <w:pStyle w:val="sectioncolumnvaluep"/>
            </w:pPr>
            <w:r>
              <w:lastRenderedPageBreak/>
              <w:br/>
            </w:r>
            <w:r>
              <w:rPr>
                <w:b/>
                <w:bCs/>
              </w:rPr>
              <w:t xml:space="preserve">1 </w:t>
            </w:r>
            <w:r>
              <w:t xml:space="preserve">- Both of the following: </w:t>
            </w:r>
          </w:p>
          <w:p w14:paraId="68DDA2A7" w14:textId="77777777" w:rsidR="00000000" w:rsidRDefault="00000000">
            <w:pPr>
              <w:pStyle w:val="sectioncolumnvaluep"/>
            </w:pPr>
            <w:r>
              <w:rPr>
                <w:b/>
                <w:bCs/>
              </w:rPr>
              <w:br/>
              <w:t xml:space="preserve"> 1.1 </w:t>
            </w:r>
            <w:r>
              <w:t xml:space="preserve">Submission of medical records (e.g. chart notes, lab work, imaging) confirming both of the following: </w:t>
            </w:r>
          </w:p>
          <w:p w14:paraId="19B5DCC0" w14:textId="77777777" w:rsidR="00000000" w:rsidRDefault="00000000">
            <w:pPr>
              <w:numPr>
                <w:ilvl w:val="0"/>
                <w:numId w:val="11"/>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70E283CB" w14:textId="77777777" w:rsidR="00000000" w:rsidRDefault="00000000">
            <w:pPr>
              <w:numPr>
                <w:ilvl w:val="0"/>
                <w:numId w:val="11"/>
              </w:numPr>
              <w:spacing w:before="100" w:beforeAutospacing="1" w:after="100" w:afterAutospacing="1" w:line="240" w:lineRule="auto"/>
              <w:rPr>
                <w:rFonts w:eastAsia="Times New Roman"/>
              </w:rPr>
            </w:pPr>
            <w:r>
              <w:rPr>
                <w:rFonts w:ascii="Arial" w:eastAsia="Times New Roman" w:hAnsi="Arial" w:cs="Arial"/>
                <w:sz w:val="22"/>
                <w:szCs w:val="22"/>
              </w:rPr>
              <w:t xml:space="preserve">Baseline A1C greater than or equal to 6.5% </w:t>
            </w:r>
          </w:p>
          <w:p w14:paraId="3CE6FEFA" w14:textId="77777777" w:rsidR="00000000" w:rsidRDefault="00000000">
            <w:pPr>
              <w:pStyle w:val="logicconnectorp"/>
            </w:pPr>
            <w:r>
              <w:rPr>
                <w:b/>
                <w:bCs/>
              </w:rPr>
              <w:br/>
              <w:t>AND</w:t>
            </w:r>
          </w:p>
          <w:p w14:paraId="04D09CF5" w14:textId="77777777" w:rsidR="00000000" w:rsidRDefault="00000000">
            <w:pPr>
              <w:pStyle w:val="sectioncolumnvaluep"/>
            </w:pPr>
            <w:r>
              <w:rPr>
                <w:b/>
                <w:bCs/>
              </w:rPr>
              <w:br/>
              <w:t xml:space="preserve"> 1.2 </w:t>
            </w:r>
            <w:r>
              <w:t xml:space="preserve">History of failure to metformin at a minimum dose of 1500 milligrams (mg) daily for 90 days, or contraindication or intolerance to metformin (verified via paid pharmacy claims or submission of medical records) </w:t>
            </w:r>
          </w:p>
          <w:p w14:paraId="52221834" w14:textId="77777777" w:rsidR="00000000" w:rsidRDefault="00000000">
            <w:pPr>
              <w:pStyle w:val="logicconnectorp"/>
            </w:pPr>
            <w:r>
              <w:rPr>
                <w:b/>
                <w:bCs/>
              </w:rPr>
              <w:br/>
              <w:t>AND</w:t>
            </w:r>
          </w:p>
          <w:p w14:paraId="01075B63" w14:textId="77777777" w:rsidR="00000000" w:rsidRDefault="00000000">
            <w:pPr>
              <w:pStyle w:val="sectioncolumnvaluep"/>
            </w:pPr>
            <w:r>
              <w:br/>
            </w:r>
            <w:r>
              <w:rPr>
                <w:b/>
                <w:bCs/>
              </w:rPr>
              <w:t xml:space="preserve">2 </w:t>
            </w:r>
            <w:r>
              <w:t xml:space="preserve">- Submission of medical records (e.g., chart notes, lab work, imaging) documenting ONE of the following: </w:t>
            </w:r>
          </w:p>
          <w:p w14:paraId="124985F0" w14:textId="77777777" w:rsidR="00000000" w:rsidRDefault="00000000">
            <w:pPr>
              <w:pStyle w:val="sectioncolumnvaluep"/>
            </w:pPr>
            <w:r>
              <w:rPr>
                <w:b/>
                <w:bCs/>
              </w:rPr>
              <w:br/>
              <w:t xml:space="preserve"> 2.1 </w:t>
            </w:r>
            <w:r>
              <w:t xml:space="preserve">History of a 90 day trial per member's pharmacy claims resulting in a therapeutic failure, contraindication, or intolerance to ALL of the following (verified via paid pharmacy claims or submission of medical records): </w:t>
            </w:r>
          </w:p>
          <w:p w14:paraId="29A3F8AB" w14:textId="77777777" w:rsidR="00000000" w:rsidRDefault="00000000">
            <w:pPr>
              <w:numPr>
                <w:ilvl w:val="0"/>
                <w:numId w:val="12"/>
              </w:numPr>
              <w:spacing w:before="100" w:beforeAutospacing="1" w:after="100" w:afterAutospacing="1" w:line="240" w:lineRule="auto"/>
              <w:rPr>
                <w:rFonts w:eastAsia="Times New Roman"/>
              </w:rPr>
            </w:pPr>
            <w:r>
              <w:rPr>
                <w:rFonts w:ascii="Arial" w:eastAsia="Times New Roman" w:hAnsi="Arial" w:cs="Arial"/>
                <w:sz w:val="22"/>
                <w:szCs w:val="22"/>
              </w:rPr>
              <w:t xml:space="preserve">Byetta </w:t>
            </w:r>
          </w:p>
          <w:p w14:paraId="12878B1B" w14:textId="77777777" w:rsidR="00000000" w:rsidRDefault="00000000">
            <w:pPr>
              <w:numPr>
                <w:ilvl w:val="0"/>
                <w:numId w:val="12"/>
              </w:numPr>
              <w:spacing w:before="100" w:beforeAutospacing="1" w:after="100" w:afterAutospacing="1" w:line="240" w:lineRule="auto"/>
              <w:rPr>
                <w:rFonts w:eastAsia="Times New Roman"/>
              </w:rPr>
            </w:pPr>
            <w:r>
              <w:rPr>
                <w:rFonts w:ascii="Arial" w:eastAsia="Times New Roman" w:hAnsi="Arial" w:cs="Arial"/>
                <w:sz w:val="22"/>
                <w:szCs w:val="22"/>
              </w:rPr>
              <w:t xml:space="preserve">Brand Victoza </w:t>
            </w:r>
          </w:p>
          <w:p w14:paraId="74F057DF" w14:textId="77777777" w:rsidR="00000000" w:rsidRDefault="00000000">
            <w:pPr>
              <w:numPr>
                <w:ilvl w:val="0"/>
                <w:numId w:val="12"/>
              </w:numPr>
              <w:spacing w:before="100" w:beforeAutospacing="1" w:after="100" w:afterAutospacing="1" w:line="240" w:lineRule="auto"/>
              <w:rPr>
                <w:rFonts w:eastAsia="Times New Roman"/>
              </w:rPr>
            </w:pPr>
            <w:r>
              <w:rPr>
                <w:rFonts w:ascii="Arial" w:eastAsia="Times New Roman" w:hAnsi="Arial" w:cs="Arial"/>
                <w:sz w:val="22"/>
                <w:szCs w:val="22"/>
              </w:rPr>
              <w:t xml:space="preserve">Trulicity </w:t>
            </w:r>
          </w:p>
          <w:p w14:paraId="4367EC07" w14:textId="77777777" w:rsidR="00000000" w:rsidRDefault="00000000">
            <w:pPr>
              <w:pStyle w:val="logicconnectorp"/>
            </w:pPr>
            <w:r>
              <w:rPr>
                <w:b/>
                <w:bCs/>
              </w:rPr>
              <w:br/>
              <w:t>or</w:t>
            </w:r>
          </w:p>
          <w:p w14:paraId="04D69AE5" w14:textId="77777777" w:rsidR="00000000" w:rsidRDefault="00000000">
            <w:pPr>
              <w:pStyle w:val="sectioncolumnvaluep"/>
            </w:pPr>
            <w:r>
              <w:rPr>
                <w:b/>
                <w:bCs/>
              </w:rPr>
              <w:br/>
              <w:t xml:space="preserve"> 2.2 </w:t>
            </w:r>
            <w:r>
              <w:t xml:space="preserve">BOTH of the following: </w:t>
            </w:r>
          </w:p>
          <w:p w14:paraId="3800E835" w14:textId="77777777" w:rsidR="00000000" w:rsidRDefault="00000000">
            <w:pPr>
              <w:pStyle w:val="sectioncolumnvaluep"/>
            </w:pPr>
            <w:r>
              <w:rPr>
                <w:b/>
                <w:bCs/>
              </w:rPr>
              <w:br/>
              <w:t xml:space="preserve">  2.2.1 </w:t>
            </w:r>
            <w:r>
              <w:t xml:space="preserve">The patient is unable to self-inject due to ONE of the following: </w:t>
            </w:r>
          </w:p>
          <w:p w14:paraId="15D908C1" w14:textId="77777777" w:rsidR="00000000" w:rsidRDefault="00000000">
            <w:pPr>
              <w:numPr>
                <w:ilvl w:val="0"/>
                <w:numId w:val="13"/>
              </w:numPr>
              <w:spacing w:before="100" w:beforeAutospacing="1" w:after="100" w:afterAutospacing="1" w:line="240" w:lineRule="auto"/>
              <w:rPr>
                <w:rFonts w:eastAsia="Times New Roman"/>
              </w:rPr>
            </w:pPr>
            <w:r>
              <w:rPr>
                <w:rFonts w:ascii="Arial" w:eastAsia="Times New Roman" w:hAnsi="Arial" w:cs="Arial"/>
                <w:sz w:val="22"/>
                <w:szCs w:val="22"/>
              </w:rPr>
              <w:t xml:space="preserve">Physical impairment </w:t>
            </w:r>
          </w:p>
          <w:p w14:paraId="4231A33D" w14:textId="77777777" w:rsidR="00000000" w:rsidRDefault="00000000">
            <w:pPr>
              <w:numPr>
                <w:ilvl w:val="0"/>
                <w:numId w:val="13"/>
              </w:numPr>
              <w:spacing w:before="100" w:beforeAutospacing="1" w:after="100" w:afterAutospacing="1" w:line="240" w:lineRule="auto"/>
              <w:rPr>
                <w:rFonts w:eastAsia="Times New Roman"/>
              </w:rPr>
            </w:pPr>
            <w:r>
              <w:rPr>
                <w:rFonts w:ascii="Arial" w:eastAsia="Times New Roman" w:hAnsi="Arial" w:cs="Arial"/>
                <w:sz w:val="22"/>
                <w:szCs w:val="22"/>
              </w:rPr>
              <w:t xml:space="preserve">Visual impairment </w:t>
            </w:r>
          </w:p>
          <w:p w14:paraId="05502DCF" w14:textId="77777777" w:rsidR="00000000" w:rsidRDefault="00000000">
            <w:pPr>
              <w:numPr>
                <w:ilvl w:val="0"/>
                <w:numId w:val="13"/>
              </w:numPr>
              <w:spacing w:before="100" w:beforeAutospacing="1" w:after="100" w:afterAutospacing="1" w:line="240" w:lineRule="auto"/>
              <w:rPr>
                <w:rFonts w:eastAsia="Times New Roman"/>
              </w:rPr>
            </w:pPr>
            <w:r>
              <w:rPr>
                <w:rFonts w:ascii="Arial" w:eastAsia="Times New Roman" w:hAnsi="Arial" w:cs="Arial"/>
                <w:sz w:val="22"/>
                <w:szCs w:val="22"/>
              </w:rPr>
              <w:t xml:space="preserve">Lipohypertrophy </w:t>
            </w:r>
          </w:p>
          <w:p w14:paraId="6FFA1F16" w14:textId="77777777" w:rsidR="00000000" w:rsidRDefault="00000000">
            <w:pPr>
              <w:numPr>
                <w:ilvl w:val="0"/>
                <w:numId w:val="13"/>
              </w:numPr>
              <w:spacing w:before="100" w:beforeAutospacing="1" w:after="100" w:afterAutospacing="1" w:line="240" w:lineRule="auto"/>
              <w:rPr>
                <w:rFonts w:eastAsia="Times New Roman"/>
              </w:rPr>
            </w:pPr>
            <w:r>
              <w:rPr>
                <w:rFonts w:ascii="Arial" w:eastAsia="Times New Roman" w:hAnsi="Arial" w:cs="Arial"/>
                <w:sz w:val="22"/>
                <w:szCs w:val="22"/>
              </w:rPr>
              <w:t xml:space="preserve">Documented needle-phobia to the degree that the patient has previously refused any injectable therapy or medical procedure (refer to DSM-5 for specific phobia diagnostic criteria) </w:t>
            </w:r>
          </w:p>
          <w:p w14:paraId="6987745E" w14:textId="77777777" w:rsidR="00000000" w:rsidRDefault="00000000">
            <w:pPr>
              <w:pStyle w:val="logicconnectorp"/>
            </w:pPr>
            <w:r>
              <w:rPr>
                <w:b/>
                <w:bCs/>
              </w:rPr>
              <w:br/>
            </w:r>
            <w:r>
              <w:rPr>
                <w:b/>
                <w:bCs/>
              </w:rPr>
              <w:lastRenderedPageBreak/>
              <w:t>AND</w:t>
            </w:r>
          </w:p>
          <w:p w14:paraId="0C883137" w14:textId="77777777" w:rsidR="00000000" w:rsidRDefault="00000000">
            <w:pPr>
              <w:pStyle w:val="sectioncolumnvaluep"/>
            </w:pPr>
            <w:r>
              <w:rPr>
                <w:b/>
                <w:bCs/>
              </w:rPr>
              <w:br/>
              <w:t xml:space="preserve">  2.2.2 </w:t>
            </w:r>
            <w:r>
              <w:t xml:space="preserve">History of failure, intolerance, or contraindication to ALL of the following: </w:t>
            </w:r>
          </w:p>
          <w:p w14:paraId="5FD4B025" w14:textId="77777777" w:rsidR="00000000" w:rsidRDefault="00000000">
            <w:pPr>
              <w:numPr>
                <w:ilvl w:val="0"/>
                <w:numId w:val="14"/>
              </w:numPr>
              <w:spacing w:before="100" w:beforeAutospacing="1" w:after="100" w:afterAutospacing="1" w:line="240" w:lineRule="auto"/>
              <w:rPr>
                <w:rFonts w:eastAsia="Times New Roman"/>
              </w:rPr>
            </w:pPr>
            <w:r>
              <w:rPr>
                <w:rFonts w:ascii="Arial" w:eastAsia="Times New Roman" w:hAnsi="Arial" w:cs="Arial"/>
                <w:sz w:val="22"/>
                <w:szCs w:val="22"/>
              </w:rPr>
              <w:t xml:space="preserve">Farxiga </w:t>
            </w:r>
          </w:p>
          <w:p w14:paraId="7D7658E0" w14:textId="77777777" w:rsidR="00000000" w:rsidRDefault="00000000">
            <w:pPr>
              <w:numPr>
                <w:ilvl w:val="0"/>
                <w:numId w:val="14"/>
              </w:numPr>
              <w:spacing w:before="100" w:beforeAutospacing="1" w:after="100" w:afterAutospacing="1" w:line="240" w:lineRule="auto"/>
              <w:rPr>
                <w:rFonts w:eastAsia="Times New Roman"/>
              </w:rPr>
            </w:pPr>
            <w:r>
              <w:rPr>
                <w:rFonts w:ascii="Arial" w:eastAsia="Times New Roman" w:hAnsi="Arial" w:cs="Arial"/>
                <w:sz w:val="22"/>
                <w:szCs w:val="22"/>
              </w:rPr>
              <w:t xml:space="preserve">Jardiance </w:t>
            </w:r>
          </w:p>
          <w:p w14:paraId="403C769F" w14:textId="77777777" w:rsidR="00000000" w:rsidRDefault="00000000">
            <w:pPr>
              <w:numPr>
                <w:ilvl w:val="0"/>
                <w:numId w:val="14"/>
              </w:numPr>
              <w:spacing w:before="100" w:beforeAutospacing="1" w:after="100" w:afterAutospacing="1" w:line="240" w:lineRule="auto"/>
              <w:rPr>
                <w:rFonts w:eastAsia="Times New Roman"/>
              </w:rPr>
            </w:pPr>
            <w:r>
              <w:rPr>
                <w:rFonts w:ascii="Arial" w:eastAsia="Times New Roman" w:hAnsi="Arial" w:cs="Arial"/>
                <w:sz w:val="22"/>
                <w:szCs w:val="22"/>
              </w:rPr>
              <w:t xml:space="preserve">Synjardy </w:t>
            </w:r>
          </w:p>
          <w:p w14:paraId="6A9F854E" w14:textId="77777777" w:rsidR="00000000" w:rsidRDefault="00000000">
            <w:pPr>
              <w:numPr>
                <w:ilvl w:val="0"/>
                <w:numId w:val="14"/>
              </w:numPr>
              <w:spacing w:before="100" w:beforeAutospacing="1" w:after="100" w:afterAutospacing="1" w:line="240" w:lineRule="auto"/>
              <w:rPr>
                <w:rFonts w:eastAsia="Times New Roman"/>
              </w:rPr>
            </w:pPr>
            <w:r>
              <w:rPr>
                <w:rFonts w:ascii="Arial" w:eastAsia="Times New Roman" w:hAnsi="Arial" w:cs="Arial"/>
                <w:sz w:val="22"/>
                <w:szCs w:val="22"/>
              </w:rPr>
              <w:t xml:space="preserve">Xigduo XR </w:t>
            </w:r>
          </w:p>
          <w:p w14:paraId="04C9EF7C" w14:textId="77777777" w:rsidR="00000000" w:rsidRDefault="00000000">
            <w:pPr>
              <w:pStyle w:val="logicconnectorp"/>
            </w:pPr>
            <w:r>
              <w:rPr>
                <w:b/>
                <w:bCs/>
              </w:rPr>
              <w:br/>
              <w:t>AND</w:t>
            </w:r>
          </w:p>
          <w:p w14:paraId="51F51BF9" w14:textId="77777777" w:rsidR="00000000" w:rsidRDefault="00000000">
            <w:pPr>
              <w:pStyle w:val="sectioncolumnvaluep"/>
            </w:pPr>
            <w:r>
              <w:br/>
            </w:r>
            <w:r>
              <w:rPr>
                <w:b/>
                <w:bCs/>
              </w:rPr>
              <w:t xml:space="preserve">3 </w:t>
            </w:r>
            <w:r>
              <w:t xml:space="preserve">- Patient is 18 years of age or older </w:t>
            </w:r>
          </w:p>
          <w:p w14:paraId="433EF493" w14:textId="77777777" w:rsidR="00000000" w:rsidRDefault="00000000">
            <w:pPr>
              <w:pStyle w:val="logicconnectorp"/>
            </w:pPr>
            <w:r>
              <w:rPr>
                <w:b/>
                <w:bCs/>
              </w:rPr>
              <w:br/>
              <w:t>AND</w:t>
            </w:r>
          </w:p>
          <w:p w14:paraId="6139926D" w14:textId="77777777" w:rsidR="00000000" w:rsidRDefault="00000000">
            <w:pPr>
              <w:pStyle w:val="sectioncolumnvaluep"/>
            </w:pPr>
            <w:r>
              <w:br/>
            </w:r>
            <w:r>
              <w:rPr>
                <w:b/>
                <w:bCs/>
              </w:rPr>
              <w:t xml:space="preserve">4 </w:t>
            </w:r>
            <w:r>
              <w:t xml:space="preserve">- Drug is not solely being used for weight loss </w:t>
            </w:r>
          </w:p>
          <w:p w14:paraId="78B3566E" w14:textId="77777777" w:rsidR="00000000" w:rsidRDefault="00000000">
            <w:pPr>
              <w:rPr>
                <w:rFonts w:eastAsia="Times New Roman"/>
              </w:rPr>
            </w:pPr>
          </w:p>
        </w:tc>
      </w:tr>
      <w:tr w:rsidR="00000000" w14:paraId="202E40D4"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AF66993" w14:textId="77777777" w:rsidR="00000000" w:rsidRDefault="00000000">
            <w:pPr>
              <w:pStyle w:val="sectioncolumnvaluep"/>
              <w:wordWrap w:val="0"/>
            </w:pPr>
            <w:r>
              <w:lastRenderedPageBreak/>
              <w:t xml:space="preserve">Notes </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A3CF921" w14:textId="77777777" w:rsidR="00000000" w:rsidRDefault="00000000">
            <w:pPr>
              <w:pStyle w:val="sectioncolumnvaluep"/>
              <w:wordWrap w:val="0"/>
            </w:pPr>
            <w:r>
              <w:t>If requested medication is being used solely for appetite suppression or weight loss – deny the case for Plan Exclusion. For all other indications deny the case for medical necessity and do not review for off-label use.</w:t>
            </w:r>
          </w:p>
        </w:tc>
      </w:tr>
    </w:tbl>
    <w:p w14:paraId="2979D6B0" w14:textId="77777777" w:rsidR="00000000" w:rsidRDefault="00000000">
      <w:pPr>
        <w:spacing w:after="240"/>
        <w:divId w:val="2118794816"/>
        <w:rPr>
          <w:rFonts w:ascii="Arial" w:eastAsia="Times New Roman" w:hAnsi="Arial" w:cs="Arial"/>
        </w:rPr>
      </w:pPr>
    </w:p>
    <w:p w14:paraId="422DF754" w14:textId="77777777" w:rsidR="00000000" w:rsidRDefault="00000000">
      <w:pPr>
        <w:pStyle w:val="sectionheaderp"/>
        <w:divId w:val="2118794816"/>
      </w:pPr>
      <w:r>
        <w:t xml:space="preserve">2 .  Revision History </w:t>
      </w:r>
    </w:p>
    <w:p w14:paraId="78761FBD" w14:textId="77777777" w:rsidR="00000000" w:rsidRDefault="00000000">
      <w:pPr>
        <w:divId w:val="2118794816"/>
        <w:rPr>
          <w:rFonts w:ascii="Arial" w:eastAsia="Times New Roman" w:hAnsi="Arial" w:cs="Arial"/>
        </w:rPr>
      </w:pPr>
    </w:p>
    <w:tbl>
      <w:tblPr>
        <w:tblW w:w="496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20"/>
        <w:gridCol w:w="6960"/>
      </w:tblGrid>
      <w:tr w:rsidR="00000000" w14:paraId="032A7CD3" w14:textId="77777777">
        <w:trPr>
          <w:divId w:val="2118794816"/>
        </w:trPr>
        <w:tc>
          <w:tcPr>
            <w:tcW w:w="12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66AC87C6"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Date </w:t>
            </w:r>
          </w:p>
        </w:tc>
        <w:tc>
          <w:tcPr>
            <w:tcW w:w="37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03E1A959"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Notes </w:t>
            </w:r>
          </w:p>
        </w:tc>
      </w:tr>
      <w:tr w:rsidR="00000000" w14:paraId="7DEECA8F" w14:textId="77777777">
        <w:trPr>
          <w:divId w:val="2118794816"/>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54B1" w14:textId="77777777" w:rsidR="00000000" w:rsidRDefault="00000000">
            <w:pPr>
              <w:rPr>
                <w:rFonts w:ascii="Arial" w:eastAsia="Times New Roman" w:hAnsi="Arial" w:cs="Arial"/>
                <w:sz w:val="22"/>
                <w:szCs w:val="22"/>
              </w:rPr>
            </w:pPr>
          </w:p>
        </w:tc>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4B9F5" w14:textId="77777777" w:rsidR="00000000" w:rsidRDefault="00000000">
            <w:pPr>
              <w:wordWrap w:val="0"/>
              <w:rPr>
                <w:rFonts w:ascii="Arial" w:eastAsia="Times New Roman" w:hAnsi="Arial" w:cs="Arial"/>
                <w:sz w:val="22"/>
                <w:szCs w:val="22"/>
              </w:rPr>
            </w:pPr>
            <w:r>
              <w:rPr>
                <w:rFonts w:ascii="Arial" w:eastAsia="Times New Roman" w:hAnsi="Arial" w:cs="Arial"/>
                <w:sz w:val="22"/>
                <w:szCs w:val="22"/>
              </w:rPr>
              <w:t xml:space="preserve">P&amp;T Changes: Rybelsus, removed step through Invokana (now NP). Added new GPIs for Rybelsus. </w:t>
            </w:r>
          </w:p>
        </w:tc>
      </w:tr>
    </w:tbl>
    <w:p w14:paraId="4CDDD924" w14:textId="77777777" w:rsidR="00000000" w:rsidRDefault="00000000">
      <w:pPr>
        <w:divId w:val="2118794816"/>
        <w:rPr>
          <w:rFonts w:eastAsia="Times New Roman"/>
        </w:rPr>
      </w:pPr>
    </w:p>
    <w:p w14:paraId="75E02A65" w14:textId="77777777" w:rsidR="00447855" w:rsidRDefault="00000000">
      <w:pPr>
        <w:pStyle w:val="IndexStyle"/>
        <w:pageBreakBefore/>
      </w:pPr>
      <w:bookmarkStart w:id="2" w:name="_Toc193378717"/>
      <w:r>
        <w:lastRenderedPageBreak/>
        <w:t>Pulmonary Arterial Hypertension (PAH) Agents</w:t>
      </w:r>
      <w:bookmarkEnd w:id="2"/>
    </w:p>
    <w:p w14:paraId="33C7493F" w14:textId="77777777" w:rsidR="00000000" w:rsidRDefault="00000000">
      <w:pPr>
        <w:spacing w:after="240"/>
        <w:divId w:val="397172176"/>
        <w:rPr>
          <w:rFonts w:eastAsia="Times New Roman"/>
          <w:kern w:val="0"/>
          <w14:ligatures w14:val="none"/>
        </w:rPr>
      </w:pPr>
      <w:r>
        <w:rPr>
          <w:noProof/>
          <w:sz w:val="20"/>
          <w:szCs w:val="20"/>
        </w:rPr>
        <w:drawing>
          <wp:anchor distT="0" distB="0" distL="0" distR="0" simplePos="0" relativeHeight="251663360" behindDoc="0" locked="0" layoutInCell="1" allowOverlap="0" wp14:anchorId="5FF99489" wp14:editId="04C445FB">
            <wp:simplePos x="0" y="0"/>
            <wp:positionH relativeFrom="column">
              <wp:align>left</wp:align>
            </wp:positionH>
            <wp:positionV relativeFrom="line">
              <wp:posOffset>0</wp:posOffset>
            </wp:positionV>
            <wp:extent cx="2190750" cy="485775"/>
            <wp:effectExtent l="0" t="0" r="0" b="0"/>
            <wp:wrapSquare wrapText="bothSides"/>
            <wp:docPr id="1511193636" name="Picture 151119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1C6BB" w14:textId="77777777" w:rsidR="00000000" w:rsidRDefault="00000000">
      <w:pPr>
        <w:pStyle w:val="NormalWeb"/>
        <w:jc w:val="center"/>
        <w:divId w:val="397172176"/>
      </w:pPr>
      <w:r>
        <w:rPr>
          <w:b/>
          <w:bCs/>
        </w:rPr>
        <w:t> </w:t>
      </w:r>
    </w:p>
    <w:p w14:paraId="7F41F3C2" w14:textId="77777777" w:rsidR="00000000" w:rsidRDefault="00000000">
      <w:pPr>
        <w:pStyle w:val="NormalWeb"/>
        <w:jc w:val="center"/>
        <w:divId w:val="397172176"/>
      </w:pPr>
      <w:r>
        <w:rPr>
          <w:b/>
          <w:bCs/>
        </w:rPr>
        <w:t> </w:t>
      </w:r>
    </w:p>
    <w:p w14:paraId="2031552F" w14:textId="77777777" w:rsidR="00000000" w:rsidRDefault="00000000">
      <w:pPr>
        <w:pStyle w:val="documenttitle"/>
        <w:divId w:val="397172176"/>
      </w:pPr>
      <w:r>
        <w:rPr>
          <w:b/>
          <w:bCs/>
        </w:rPr>
        <w:t>Prior Authorization Guideline</w:t>
      </w:r>
    </w:p>
    <w:p w14:paraId="1F9DC1B8" w14:textId="77777777" w:rsidR="00000000" w:rsidRDefault="00000000">
      <w:pPr>
        <w:pStyle w:val="NormalWeb"/>
        <w:spacing w:before="0" w:beforeAutospacing="0" w:after="0" w:afterAutospacing="0"/>
        <w:divId w:val="397172176"/>
      </w:pPr>
      <w:r>
        <w:br/>
        <w:t> </w:t>
      </w: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60D5DD2" w14:textId="77777777">
        <w:trPr>
          <w:divId w:val="39717217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1D7AED" w14:textId="77777777" w:rsidR="00000000" w:rsidRDefault="00000000">
            <w:pPr>
              <w:pStyle w:val="sectioncolumnp"/>
            </w:pPr>
            <w:r>
              <w:t>Guideline ID</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400189B9" w14:textId="77777777" w:rsidR="00000000" w:rsidRDefault="00000000">
            <w:pPr>
              <w:pStyle w:val="sectioncolumnvaluep"/>
            </w:pPr>
            <w:r>
              <w:t xml:space="preserve">GL-208208 </w:t>
            </w:r>
          </w:p>
        </w:tc>
      </w:tr>
      <w:tr w:rsidR="00000000" w14:paraId="0F826FE2" w14:textId="77777777">
        <w:trPr>
          <w:divId w:val="39717217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D50314" w14:textId="77777777" w:rsidR="00000000" w:rsidRDefault="00000000">
            <w:pPr>
              <w:pStyle w:val="sectioncolumnp"/>
            </w:pPr>
            <w:r>
              <w:t>Guideline Name</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1BE3DC2D" w14:textId="77777777" w:rsidR="00000000" w:rsidRDefault="00000000">
            <w:pPr>
              <w:pStyle w:val="sectioncolumnvaluep"/>
            </w:pPr>
            <w:r>
              <w:t xml:space="preserve">Pulmonary Arterial Hypertension (PAH) Agents </w:t>
            </w:r>
          </w:p>
        </w:tc>
      </w:tr>
      <w:tr w:rsidR="00000000" w14:paraId="50C66996" w14:textId="77777777">
        <w:trPr>
          <w:divId w:val="397172176"/>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0AFA29" w14:textId="77777777" w:rsidR="00000000" w:rsidRDefault="00000000">
            <w:pPr>
              <w:pStyle w:val="sectioncolumnp"/>
            </w:pPr>
            <w:r>
              <w:t>Formulary</w:t>
            </w:r>
          </w:p>
        </w:tc>
        <w:tc>
          <w:tcPr>
            <w:tcW w:w="3750" w:type="pct"/>
            <w:hideMark/>
          </w:tcPr>
          <w:p w14:paraId="322BAE31" w14:textId="77777777" w:rsidR="00000000" w:rsidRDefault="00000000">
            <w:pPr>
              <w:pStyle w:val="sectioncolumnvaluep"/>
              <w:numPr>
                <w:ilvl w:val="0"/>
                <w:numId w:val="15"/>
              </w:numPr>
              <w:rPr>
                <w:rFonts w:eastAsia="Times New Roman"/>
              </w:rPr>
            </w:pPr>
            <w:r>
              <w:rPr>
                <w:rFonts w:eastAsia="Times New Roman"/>
              </w:rPr>
              <w:t xml:space="preserve">Medicaid - Arizona (AZM, AZMREF, AZMDDD) </w:t>
            </w:r>
          </w:p>
        </w:tc>
      </w:tr>
    </w:tbl>
    <w:p w14:paraId="66CD8CE3" w14:textId="77777777" w:rsidR="00000000" w:rsidRDefault="00000000">
      <w:pPr>
        <w:spacing w:after="240"/>
        <w:divId w:val="397172176"/>
        <w:rPr>
          <w:rFonts w:ascii="Arial" w:eastAsia="Times New Roman" w:hAnsi="Arial" w:cs="Arial"/>
        </w:rPr>
      </w:pPr>
      <w:r>
        <w:rPr>
          <w:rFonts w:ascii="Arial" w:eastAsia="Times New Roman" w:hAnsi="Arial" w:cs="Arial"/>
        </w:rPr>
        <w:br/>
      </w:r>
    </w:p>
    <w:p w14:paraId="76A2C1CB" w14:textId="77777777" w:rsidR="00000000" w:rsidRDefault="00000000">
      <w:pPr>
        <w:pStyle w:val="sectionheaderp"/>
        <w:divId w:val="397172176"/>
      </w:pPr>
      <w:r>
        <w:t>Guideline Note:</w:t>
      </w:r>
    </w:p>
    <w:tbl>
      <w:tblPr>
        <w:tblW w:w="49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2"/>
        <w:gridCol w:w="6935"/>
      </w:tblGrid>
      <w:tr w:rsidR="00000000" w14:paraId="4906E324"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CF18713" w14:textId="77777777" w:rsidR="00000000" w:rsidRDefault="00000000">
            <w:pPr>
              <w:pStyle w:val="sectioncolumnvaluep"/>
            </w:pPr>
            <w:r>
              <w:t>Effective Date: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8D7C755" w14:textId="77777777" w:rsidR="00000000" w:rsidRDefault="00000000">
            <w:pPr>
              <w:pStyle w:val="sectioncolumnvaluep"/>
            </w:pPr>
            <w:r>
              <w:t xml:space="preserve">4/1/2025 </w:t>
            </w:r>
          </w:p>
        </w:tc>
      </w:tr>
    </w:tbl>
    <w:p w14:paraId="2844BF0F" w14:textId="77777777" w:rsidR="00000000" w:rsidRDefault="00000000">
      <w:pPr>
        <w:divId w:val="397172176"/>
        <w:rPr>
          <w:rFonts w:ascii="Arial" w:eastAsia="Times New Roman" w:hAnsi="Arial" w:cs="Arial"/>
        </w:rPr>
      </w:pPr>
      <w:r>
        <w:rPr>
          <w:rFonts w:ascii="Arial" w:eastAsia="Times New Roman" w:hAnsi="Arial" w:cs="Arial"/>
        </w:rPr>
        <w:br/>
      </w:r>
    </w:p>
    <w:p w14:paraId="70627A43" w14:textId="77777777" w:rsidR="00000000" w:rsidRDefault="00000000">
      <w:pPr>
        <w:spacing w:after="240"/>
        <w:divId w:val="397172176"/>
        <w:rPr>
          <w:rFonts w:ascii="Arial" w:eastAsia="Times New Roman" w:hAnsi="Arial" w:cs="Arial"/>
        </w:rPr>
      </w:pPr>
      <w:r>
        <w:rPr>
          <w:rFonts w:ascii="Arial" w:eastAsia="Times New Roman" w:hAnsi="Arial" w:cs="Arial"/>
        </w:rPr>
        <w:br/>
      </w:r>
    </w:p>
    <w:p w14:paraId="0CF9580D" w14:textId="77777777" w:rsidR="00000000" w:rsidRDefault="00000000">
      <w:pPr>
        <w:pStyle w:val="sectionheaderp"/>
        <w:divId w:val="397172176"/>
      </w:pPr>
      <w:r>
        <w:t>1 .  Criteria</w:t>
      </w:r>
    </w:p>
    <w:p w14:paraId="54B39A00" w14:textId="77777777" w:rsidR="00000000" w:rsidRDefault="00000000">
      <w:pPr>
        <w:divId w:val="39717217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5A4D400A"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0927E372" w14:textId="77777777" w:rsidR="00000000" w:rsidRDefault="00000000">
            <w:pPr>
              <w:pStyle w:val="sectioncolumnvaluep"/>
            </w:pPr>
            <w:r>
              <w:t xml:space="preserve">Product Name:PREFERRED DRUGS: Alyq, generic tadalafil, generic ambrisentan, Orenitram, generic sildenafil suspension, generic sildenafil tablets, Tracleer tablet for oral suspension; NON-PREFERRED DRUGS: Brand Adcirca, Adempas, Brand Flolan, Brand Veletri, generic eprostenol, Brand Letairis, Opsumit, Opsynvi, Brand Remodulin, generic trepostinil, Brand Revatio tablets, Brand Revatio injection, generic sildenafil injection, Tadliq suspension, Brand Tracleer tablet, generic bosentan, Tyvaso DPI, Tyvaso inhaltion solution, Uptravi, Ventavis </w:t>
            </w:r>
          </w:p>
        </w:tc>
      </w:tr>
      <w:tr w:rsidR="00000000" w14:paraId="531E3B75"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09E9F3D"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04FDEAC" w14:textId="77777777" w:rsidR="00000000" w:rsidRDefault="00000000">
            <w:pPr>
              <w:pStyle w:val="sectioncolumnvaluep"/>
            </w:pPr>
            <w:r>
              <w:t xml:space="preserve">Pulmonary Arterial Hypertension </w:t>
            </w:r>
          </w:p>
        </w:tc>
      </w:tr>
      <w:tr w:rsidR="00000000" w14:paraId="18E505D3"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9DBE293"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39010E6" w14:textId="77777777" w:rsidR="00000000" w:rsidRDefault="00000000">
            <w:pPr>
              <w:pStyle w:val="sectioncolumnvaluep"/>
            </w:pPr>
            <w:r>
              <w:t xml:space="preserve">6 month(s) </w:t>
            </w:r>
          </w:p>
        </w:tc>
      </w:tr>
      <w:tr w:rsidR="00000000" w14:paraId="59497FF4"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51D20F5"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9861E69" w14:textId="77777777" w:rsidR="00000000" w:rsidRDefault="00000000">
            <w:pPr>
              <w:pStyle w:val="sectioncolumnvaluep"/>
            </w:pPr>
            <w:r>
              <w:t xml:space="preserve">Initial Authorization </w:t>
            </w:r>
          </w:p>
        </w:tc>
      </w:tr>
      <w:tr w:rsidR="00000000" w14:paraId="2CFA226C"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3BE9D5D"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2A7DDF0" w14:textId="77777777" w:rsidR="00000000" w:rsidRDefault="00000000">
            <w:pPr>
              <w:pStyle w:val="sectioncolumnvaluep"/>
            </w:pPr>
            <w:r>
              <w:t xml:space="preserve">Prior Authorization </w:t>
            </w:r>
          </w:p>
        </w:tc>
      </w:tr>
      <w:tr w:rsidR="00000000" w14:paraId="4F8AB731"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30741CF" w14:textId="77777777" w:rsidR="00000000" w:rsidRDefault="00000000">
            <w:pPr>
              <w:rPr>
                <w:rFonts w:eastAsia="Times New Roman"/>
              </w:rPr>
            </w:pPr>
            <w:r>
              <w:rPr>
                <w:rFonts w:eastAsia="Times New Roman"/>
              </w:rPr>
              <w:br/>
            </w:r>
          </w:p>
          <w:p w14:paraId="18745AFF" w14:textId="77777777" w:rsidR="00000000" w:rsidRDefault="00000000">
            <w:pPr>
              <w:pStyle w:val="sectioncolumnvaluep"/>
            </w:pPr>
            <w:r>
              <w:rPr>
                <w:b/>
                <w:bCs/>
              </w:rPr>
              <w:t xml:space="preserve">Approval Criteria   </w:t>
            </w:r>
          </w:p>
          <w:p w14:paraId="42D3B656" w14:textId="77777777" w:rsidR="00000000" w:rsidRDefault="00000000">
            <w:pPr>
              <w:pStyle w:val="sectioncolumnvaluep"/>
            </w:pPr>
            <w:r>
              <w:lastRenderedPageBreak/>
              <w:br/>
            </w:r>
            <w:r>
              <w:rPr>
                <w:b/>
                <w:bCs/>
              </w:rPr>
              <w:t xml:space="preserve">1 </w:t>
            </w:r>
            <w:r>
              <w:t xml:space="preserve">- Diagnosis of pulmonary arterial hypertension </w:t>
            </w:r>
          </w:p>
          <w:p w14:paraId="4F06E8F1" w14:textId="77777777" w:rsidR="00000000" w:rsidRDefault="00000000">
            <w:pPr>
              <w:pStyle w:val="logicconnectorp"/>
            </w:pPr>
            <w:r>
              <w:rPr>
                <w:b/>
                <w:bCs/>
              </w:rPr>
              <w:br/>
              <w:t>AND</w:t>
            </w:r>
          </w:p>
          <w:p w14:paraId="57234E60" w14:textId="77777777" w:rsidR="00000000" w:rsidRDefault="00000000">
            <w:pPr>
              <w:pStyle w:val="sectioncolumnvaluep"/>
            </w:pPr>
            <w:r>
              <w:br/>
            </w:r>
            <w:r>
              <w:rPr>
                <w:b/>
                <w:bCs/>
              </w:rPr>
              <w:t xml:space="preserve">2 </w:t>
            </w:r>
            <w:r>
              <w:t xml:space="preserve">- Pulmonary arterial hypertension is symptomatic </w:t>
            </w:r>
          </w:p>
          <w:p w14:paraId="00829724" w14:textId="77777777" w:rsidR="00000000" w:rsidRDefault="00000000">
            <w:pPr>
              <w:pStyle w:val="logicconnectorp"/>
            </w:pPr>
            <w:r>
              <w:rPr>
                <w:b/>
                <w:bCs/>
              </w:rPr>
              <w:br/>
              <w:t>AND</w:t>
            </w:r>
          </w:p>
          <w:p w14:paraId="2CECE086" w14:textId="77777777" w:rsidR="00000000" w:rsidRDefault="00000000">
            <w:pPr>
              <w:pStyle w:val="sectioncolumnvaluep"/>
            </w:pPr>
            <w:r>
              <w:br/>
            </w:r>
            <w:r>
              <w:rPr>
                <w:b/>
                <w:bCs/>
              </w:rPr>
              <w:t xml:space="preserve">3 </w:t>
            </w:r>
            <w:r>
              <w:t xml:space="preserve">- One of the following: </w:t>
            </w:r>
          </w:p>
          <w:p w14:paraId="166E411C" w14:textId="77777777" w:rsidR="00000000" w:rsidRDefault="00000000">
            <w:pPr>
              <w:pStyle w:val="sectioncolumnvaluep"/>
            </w:pPr>
            <w:r>
              <w:rPr>
                <w:b/>
                <w:bCs/>
              </w:rPr>
              <w:br/>
              <w:t xml:space="preserve"> 3.1 </w:t>
            </w:r>
            <w:r>
              <w:t xml:space="preserve">Diagnosis of pulmonary arterial hypertension was confirmed by right heart catheterization </w:t>
            </w:r>
          </w:p>
          <w:p w14:paraId="1EC498A4" w14:textId="77777777" w:rsidR="00000000" w:rsidRDefault="00000000">
            <w:pPr>
              <w:pStyle w:val="logicconnectorp"/>
            </w:pPr>
            <w:r>
              <w:rPr>
                <w:b/>
                <w:bCs/>
              </w:rPr>
              <w:br/>
              <w:t>or</w:t>
            </w:r>
          </w:p>
          <w:p w14:paraId="77209604" w14:textId="77777777" w:rsidR="00000000" w:rsidRDefault="00000000">
            <w:pPr>
              <w:pStyle w:val="sectioncolumnvaluep"/>
            </w:pPr>
            <w:r>
              <w:rPr>
                <w:b/>
                <w:bCs/>
              </w:rPr>
              <w:br/>
              <w:t xml:space="preserve"> 3.2 </w:t>
            </w:r>
            <w:r>
              <w:t xml:space="preserve">Patient is currently on any therapy for the diagnosis of pulmonary arterial hypertension </w:t>
            </w:r>
          </w:p>
          <w:p w14:paraId="3828161F" w14:textId="77777777" w:rsidR="00000000" w:rsidRDefault="00000000">
            <w:pPr>
              <w:pStyle w:val="logicconnectorp"/>
            </w:pPr>
            <w:r>
              <w:rPr>
                <w:b/>
                <w:bCs/>
              </w:rPr>
              <w:br/>
              <w:t>AND</w:t>
            </w:r>
          </w:p>
          <w:p w14:paraId="74E56C77" w14:textId="77777777" w:rsidR="00000000" w:rsidRDefault="00000000">
            <w:pPr>
              <w:pStyle w:val="sectioncolumnvaluep"/>
            </w:pPr>
            <w:r>
              <w:br/>
            </w:r>
            <w:r>
              <w:rPr>
                <w:b/>
                <w:bCs/>
              </w:rPr>
              <w:t xml:space="preserve">4 </w:t>
            </w:r>
            <w:r>
              <w:t xml:space="preserve">- Prescribed by or in consultation with one of the following: </w:t>
            </w:r>
          </w:p>
          <w:p w14:paraId="207EFCD4" w14:textId="77777777" w:rsidR="00000000" w:rsidRDefault="00000000">
            <w:pPr>
              <w:numPr>
                <w:ilvl w:val="0"/>
                <w:numId w:val="16"/>
              </w:numPr>
              <w:spacing w:before="100" w:beforeAutospacing="1" w:after="100" w:afterAutospacing="1" w:line="240" w:lineRule="auto"/>
              <w:rPr>
                <w:rFonts w:eastAsia="Times New Roman"/>
              </w:rPr>
            </w:pPr>
            <w:r>
              <w:rPr>
                <w:rFonts w:ascii="Arial" w:eastAsia="Times New Roman" w:hAnsi="Arial" w:cs="Arial"/>
                <w:sz w:val="22"/>
                <w:szCs w:val="22"/>
              </w:rPr>
              <w:t xml:space="preserve">Pulmonologist </w:t>
            </w:r>
          </w:p>
          <w:p w14:paraId="42B62490" w14:textId="77777777" w:rsidR="00000000" w:rsidRDefault="00000000">
            <w:pPr>
              <w:numPr>
                <w:ilvl w:val="0"/>
                <w:numId w:val="16"/>
              </w:numPr>
              <w:spacing w:before="100" w:beforeAutospacing="1" w:after="100" w:afterAutospacing="1" w:line="240" w:lineRule="auto"/>
              <w:rPr>
                <w:rFonts w:eastAsia="Times New Roman"/>
              </w:rPr>
            </w:pPr>
            <w:r>
              <w:rPr>
                <w:rFonts w:ascii="Arial" w:eastAsia="Times New Roman" w:hAnsi="Arial" w:cs="Arial"/>
                <w:sz w:val="22"/>
                <w:szCs w:val="22"/>
              </w:rPr>
              <w:t xml:space="preserve">Cardiologist </w:t>
            </w:r>
          </w:p>
          <w:p w14:paraId="60A57018" w14:textId="77777777" w:rsidR="00000000" w:rsidRDefault="00000000">
            <w:pPr>
              <w:pStyle w:val="logicconnectorp"/>
            </w:pPr>
            <w:r>
              <w:rPr>
                <w:b/>
                <w:bCs/>
              </w:rPr>
              <w:br/>
              <w:t>AND</w:t>
            </w:r>
          </w:p>
          <w:p w14:paraId="45CA2302" w14:textId="77777777" w:rsidR="00000000" w:rsidRDefault="00000000">
            <w:pPr>
              <w:pStyle w:val="sectioncolumnvaluep"/>
            </w:pPr>
            <w:r>
              <w:br/>
            </w:r>
            <w:r>
              <w:rPr>
                <w:b/>
                <w:bCs/>
              </w:rPr>
              <w:t xml:space="preserve">5 </w:t>
            </w:r>
            <w:r>
              <w:t xml:space="preserve">- If the patient is requesting a non preferred product, patient has a history of failure, contraindication or intolerance to BOTH of the following: </w:t>
            </w:r>
          </w:p>
          <w:p w14:paraId="76ADD8D8" w14:textId="77777777" w:rsidR="00000000" w:rsidRDefault="00000000">
            <w:pPr>
              <w:numPr>
                <w:ilvl w:val="0"/>
                <w:numId w:val="17"/>
              </w:numPr>
              <w:spacing w:before="100" w:beforeAutospacing="1" w:after="100" w:afterAutospacing="1" w:line="240" w:lineRule="auto"/>
              <w:rPr>
                <w:rFonts w:eastAsia="Times New Roman"/>
              </w:rPr>
            </w:pPr>
            <w:r>
              <w:rPr>
                <w:rFonts w:ascii="Arial" w:eastAsia="Times New Roman" w:hAnsi="Arial" w:cs="Arial"/>
                <w:sz w:val="22"/>
                <w:szCs w:val="22"/>
              </w:rPr>
              <w:t xml:space="preserve">A preferred Endothelin Receptor Antagonist (ERA) (e.g., generic ambrisentan, Tracleer tablet for oral suspension)) </w:t>
            </w:r>
          </w:p>
          <w:p w14:paraId="0664BD80" w14:textId="77777777" w:rsidR="00000000" w:rsidRDefault="00000000">
            <w:pPr>
              <w:numPr>
                <w:ilvl w:val="0"/>
                <w:numId w:val="17"/>
              </w:numPr>
              <w:spacing w:before="100" w:beforeAutospacing="1" w:after="100" w:afterAutospacing="1" w:line="240" w:lineRule="auto"/>
              <w:rPr>
                <w:rFonts w:eastAsia="Times New Roman"/>
              </w:rPr>
            </w:pPr>
            <w:r>
              <w:rPr>
                <w:rFonts w:ascii="Arial" w:eastAsia="Times New Roman" w:hAnsi="Arial" w:cs="Arial"/>
                <w:sz w:val="22"/>
                <w:szCs w:val="22"/>
              </w:rPr>
              <w:t xml:space="preserve">A preferred Phosphodiesterase 5 inhibitor (PDE5i) [e.g., Alyq or tadalafil, generic sildenafil tablet (generic for Revatio tablet), generic sildenafil suspension] </w:t>
            </w:r>
          </w:p>
          <w:p w14:paraId="61C681AF" w14:textId="77777777" w:rsidR="00000000" w:rsidRDefault="00000000">
            <w:pPr>
              <w:pStyle w:val="logicconnectorp"/>
            </w:pPr>
            <w:r>
              <w:rPr>
                <w:b/>
                <w:bCs/>
              </w:rPr>
              <w:br/>
              <w:t>AND</w:t>
            </w:r>
          </w:p>
          <w:p w14:paraId="1769FA88" w14:textId="77777777" w:rsidR="00000000" w:rsidRDefault="00000000">
            <w:pPr>
              <w:pStyle w:val="sectioncolumnvaluep"/>
            </w:pPr>
            <w:r>
              <w:br/>
            </w:r>
            <w:r>
              <w:rPr>
                <w:b/>
                <w:bCs/>
              </w:rPr>
              <w:t xml:space="preserve">6 </w:t>
            </w:r>
            <w:r>
              <w:t xml:space="preserve">- If the request is for Brand Adcirca, patient must have tried and failed generic tadalafil or Alyq </w:t>
            </w:r>
          </w:p>
          <w:p w14:paraId="57BCF2B8" w14:textId="77777777" w:rsidR="00000000" w:rsidRDefault="00000000">
            <w:pPr>
              <w:pStyle w:val="logicconnectorp"/>
            </w:pPr>
            <w:r>
              <w:rPr>
                <w:b/>
                <w:bCs/>
              </w:rPr>
              <w:lastRenderedPageBreak/>
              <w:br/>
              <w:t>AND</w:t>
            </w:r>
          </w:p>
          <w:p w14:paraId="06B86958" w14:textId="77777777" w:rsidR="00000000" w:rsidRDefault="00000000">
            <w:pPr>
              <w:pStyle w:val="sectioncolumnvaluep"/>
            </w:pPr>
            <w:r>
              <w:br/>
            </w:r>
            <w:r>
              <w:rPr>
                <w:b/>
                <w:bCs/>
              </w:rPr>
              <w:t xml:space="preserve">7 </w:t>
            </w:r>
            <w:r>
              <w:t xml:space="preserve">- If the request is for Opsynvi, patient must have tried and failed both of the following as separate products: </w:t>
            </w:r>
          </w:p>
          <w:p w14:paraId="6BAE090B" w14:textId="77777777" w:rsidR="00000000" w:rsidRDefault="00000000">
            <w:pPr>
              <w:numPr>
                <w:ilvl w:val="0"/>
                <w:numId w:val="18"/>
              </w:numPr>
              <w:spacing w:before="100" w:beforeAutospacing="1" w:after="100" w:afterAutospacing="1" w:line="240" w:lineRule="auto"/>
              <w:rPr>
                <w:rFonts w:eastAsia="Times New Roman"/>
              </w:rPr>
            </w:pPr>
            <w:r>
              <w:rPr>
                <w:rFonts w:ascii="Arial" w:eastAsia="Times New Roman" w:hAnsi="Arial" w:cs="Arial"/>
                <w:sz w:val="22"/>
                <w:szCs w:val="22"/>
              </w:rPr>
              <w:t xml:space="preserve">generic tadalafil </w:t>
            </w:r>
          </w:p>
          <w:p w14:paraId="0E9DCE0E" w14:textId="77777777" w:rsidR="00000000" w:rsidRDefault="00000000">
            <w:pPr>
              <w:numPr>
                <w:ilvl w:val="0"/>
                <w:numId w:val="18"/>
              </w:numPr>
              <w:spacing w:before="100" w:beforeAutospacing="1" w:after="100" w:afterAutospacing="1" w:line="240" w:lineRule="auto"/>
              <w:rPr>
                <w:rFonts w:eastAsia="Times New Roman"/>
              </w:rPr>
            </w:pPr>
            <w:r>
              <w:rPr>
                <w:rFonts w:ascii="Arial" w:eastAsia="Times New Roman" w:hAnsi="Arial" w:cs="Arial"/>
                <w:sz w:val="22"/>
                <w:szCs w:val="22"/>
              </w:rPr>
              <w:t xml:space="preserve">Opsumit (may require PA) </w:t>
            </w:r>
          </w:p>
          <w:p w14:paraId="56F6A7A8" w14:textId="77777777" w:rsidR="00000000" w:rsidRDefault="00000000">
            <w:pPr>
              <w:spacing w:after="0"/>
              <w:rPr>
                <w:rFonts w:eastAsia="Times New Roman"/>
              </w:rPr>
            </w:pPr>
          </w:p>
        </w:tc>
      </w:tr>
    </w:tbl>
    <w:p w14:paraId="17A2A081" w14:textId="77777777" w:rsidR="00000000" w:rsidRDefault="00000000">
      <w:pPr>
        <w:divId w:val="39717217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7D02B5A"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54F43633" w14:textId="77777777" w:rsidR="00000000" w:rsidRDefault="00000000">
            <w:pPr>
              <w:pStyle w:val="sectioncolumnvaluep"/>
            </w:pPr>
            <w:r>
              <w:t xml:space="preserve">Product Name:Adempas tablet </w:t>
            </w:r>
          </w:p>
        </w:tc>
      </w:tr>
      <w:tr w:rsidR="00000000" w14:paraId="607FE1FD"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81BF9F4"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450F2CF" w14:textId="77777777" w:rsidR="00000000" w:rsidRDefault="00000000">
            <w:pPr>
              <w:pStyle w:val="sectioncolumnvaluep"/>
            </w:pPr>
            <w:r>
              <w:t xml:space="preserve">Chronic Thromboembolic Pulmonary Hypertension (CTEPH) </w:t>
            </w:r>
          </w:p>
        </w:tc>
      </w:tr>
      <w:tr w:rsidR="00000000" w14:paraId="033E4C52"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50D8B3E"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3A38552" w14:textId="77777777" w:rsidR="00000000" w:rsidRDefault="00000000">
            <w:pPr>
              <w:pStyle w:val="sectioncolumnvaluep"/>
            </w:pPr>
            <w:r>
              <w:t xml:space="preserve">6 month(s) </w:t>
            </w:r>
          </w:p>
        </w:tc>
      </w:tr>
      <w:tr w:rsidR="00000000" w14:paraId="6FD5D4A6"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8029BBE"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71D731C" w14:textId="77777777" w:rsidR="00000000" w:rsidRDefault="00000000">
            <w:pPr>
              <w:pStyle w:val="sectioncolumnvaluep"/>
            </w:pPr>
            <w:r>
              <w:t xml:space="preserve">Initial Authorization </w:t>
            </w:r>
          </w:p>
        </w:tc>
      </w:tr>
      <w:tr w:rsidR="00000000" w14:paraId="7078A575"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94BCCE7"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C00A9A2" w14:textId="77777777" w:rsidR="00000000" w:rsidRDefault="00000000">
            <w:pPr>
              <w:pStyle w:val="sectioncolumnvaluep"/>
            </w:pPr>
            <w:r>
              <w:t xml:space="preserve">Prior Authorization </w:t>
            </w:r>
          </w:p>
        </w:tc>
      </w:tr>
      <w:tr w:rsidR="00000000" w14:paraId="265807B0"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F707236" w14:textId="77777777" w:rsidR="00000000" w:rsidRDefault="00000000">
            <w:pPr>
              <w:rPr>
                <w:rFonts w:eastAsia="Times New Roman"/>
              </w:rPr>
            </w:pPr>
            <w:r>
              <w:rPr>
                <w:rFonts w:eastAsia="Times New Roman"/>
              </w:rPr>
              <w:br/>
            </w:r>
          </w:p>
          <w:p w14:paraId="77DA736E" w14:textId="77777777" w:rsidR="00000000" w:rsidRDefault="00000000">
            <w:pPr>
              <w:pStyle w:val="sectioncolumnvaluep"/>
            </w:pPr>
            <w:r>
              <w:rPr>
                <w:b/>
                <w:bCs/>
              </w:rPr>
              <w:t xml:space="preserve">Approval Criteria   </w:t>
            </w:r>
          </w:p>
          <w:p w14:paraId="128B3FCB" w14:textId="77777777" w:rsidR="00000000" w:rsidRDefault="00000000">
            <w:pPr>
              <w:pStyle w:val="sectioncolumnvaluep"/>
            </w:pPr>
            <w:r>
              <w:br/>
            </w:r>
            <w:r>
              <w:rPr>
                <w:b/>
                <w:bCs/>
              </w:rPr>
              <w:t xml:space="preserve">1 </w:t>
            </w:r>
            <w:r>
              <w:t xml:space="preserve">- One of the following: </w:t>
            </w:r>
          </w:p>
          <w:p w14:paraId="031B19E7" w14:textId="77777777" w:rsidR="00000000" w:rsidRDefault="00000000">
            <w:pPr>
              <w:pStyle w:val="sectioncolumnvaluep"/>
            </w:pPr>
            <w:r>
              <w:rPr>
                <w:b/>
                <w:bCs/>
              </w:rPr>
              <w:br/>
              <w:t xml:space="preserve"> 1.1 </w:t>
            </w:r>
            <w:r>
              <w:t xml:space="preserve">Both of the following: </w:t>
            </w:r>
          </w:p>
          <w:p w14:paraId="41BD6D83" w14:textId="77777777" w:rsidR="00000000" w:rsidRDefault="00000000">
            <w:pPr>
              <w:pStyle w:val="sectioncolumnvaluep"/>
            </w:pPr>
            <w:r>
              <w:rPr>
                <w:b/>
                <w:bCs/>
              </w:rPr>
              <w:br/>
              <w:t xml:space="preserve">  1.1.1 </w:t>
            </w:r>
            <w:r>
              <w:t xml:space="preserve">Diagnosis of inoperable or persistent/recurrent chronic thromboembolic pulmonary hypertension (CTEPH) </w:t>
            </w:r>
          </w:p>
          <w:p w14:paraId="1B1F1615" w14:textId="77777777" w:rsidR="00000000" w:rsidRDefault="00000000">
            <w:pPr>
              <w:pStyle w:val="logicconnectorp"/>
            </w:pPr>
            <w:r>
              <w:rPr>
                <w:b/>
                <w:bCs/>
              </w:rPr>
              <w:br/>
              <w:t>AND</w:t>
            </w:r>
          </w:p>
          <w:p w14:paraId="129EE5CB" w14:textId="77777777" w:rsidR="00000000" w:rsidRDefault="00000000">
            <w:pPr>
              <w:pStyle w:val="sectioncolumnvaluep"/>
            </w:pPr>
            <w:r>
              <w:rPr>
                <w:b/>
                <w:bCs/>
              </w:rPr>
              <w:br/>
              <w:t xml:space="preserve">  1.1.2 </w:t>
            </w:r>
            <w:r>
              <w:t xml:space="preserve">CTEPH is symptomatic </w:t>
            </w:r>
          </w:p>
          <w:p w14:paraId="74E25F21" w14:textId="77777777" w:rsidR="00000000" w:rsidRDefault="00000000">
            <w:pPr>
              <w:pStyle w:val="logicconnectorp"/>
            </w:pPr>
            <w:r>
              <w:rPr>
                <w:b/>
                <w:bCs/>
              </w:rPr>
              <w:br/>
              <w:t>or</w:t>
            </w:r>
          </w:p>
          <w:p w14:paraId="2B6872A5" w14:textId="77777777" w:rsidR="00000000" w:rsidRDefault="00000000">
            <w:pPr>
              <w:pStyle w:val="sectioncolumnvaluep"/>
            </w:pPr>
            <w:r>
              <w:rPr>
                <w:b/>
                <w:bCs/>
              </w:rPr>
              <w:br/>
              <w:t xml:space="preserve"> 1.2 </w:t>
            </w:r>
            <w:r>
              <w:t xml:space="preserve">Patient is currently on any therapy for the diagnosis of CTEPH </w:t>
            </w:r>
          </w:p>
          <w:p w14:paraId="6102EEF1" w14:textId="77777777" w:rsidR="00000000" w:rsidRDefault="00000000">
            <w:pPr>
              <w:pStyle w:val="logicconnectorp"/>
            </w:pPr>
            <w:r>
              <w:rPr>
                <w:b/>
                <w:bCs/>
              </w:rPr>
              <w:br/>
              <w:t>AND</w:t>
            </w:r>
          </w:p>
          <w:p w14:paraId="48958CEF" w14:textId="77777777" w:rsidR="00000000" w:rsidRDefault="00000000">
            <w:pPr>
              <w:pStyle w:val="sectioncolumnvaluep"/>
            </w:pPr>
            <w:r>
              <w:lastRenderedPageBreak/>
              <w:br/>
            </w:r>
            <w:r>
              <w:rPr>
                <w:b/>
                <w:bCs/>
              </w:rPr>
              <w:t xml:space="preserve">2 </w:t>
            </w:r>
            <w:r>
              <w:t xml:space="preserve">- Prescribed by or in consultation with one of the following: </w:t>
            </w:r>
          </w:p>
          <w:p w14:paraId="2C4C908E" w14:textId="77777777" w:rsidR="00000000" w:rsidRDefault="00000000">
            <w:pPr>
              <w:numPr>
                <w:ilvl w:val="0"/>
                <w:numId w:val="19"/>
              </w:numPr>
              <w:spacing w:before="100" w:beforeAutospacing="1" w:after="100" w:afterAutospacing="1" w:line="240" w:lineRule="auto"/>
              <w:rPr>
                <w:rFonts w:eastAsia="Times New Roman"/>
              </w:rPr>
            </w:pPr>
            <w:r>
              <w:rPr>
                <w:rFonts w:ascii="Arial" w:eastAsia="Times New Roman" w:hAnsi="Arial" w:cs="Arial"/>
                <w:sz w:val="22"/>
                <w:szCs w:val="22"/>
              </w:rPr>
              <w:t xml:space="preserve">Pulmonologist </w:t>
            </w:r>
          </w:p>
          <w:p w14:paraId="1052685D" w14:textId="77777777" w:rsidR="00000000" w:rsidRDefault="00000000">
            <w:pPr>
              <w:numPr>
                <w:ilvl w:val="0"/>
                <w:numId w:val="19"/>
              </w:numPr>
              <w:spacing w:before="100" w:beforeAutospacing="1" w:after="100" w:afterAutospacing="1" w:line="240" w:lineRule="auto"/>
              <w:rPr>
                <w:rFonts w:eastAsia="Times New Roman"/>
              </w:rPr>
            </w:pPr>
            <w:r>
              <w:rPr>
                <w:rFonts w:ascii="Arial" w:eastAsia="Times New Roman" w:hAnsi="Arial" w:cs="Arial"/>
                <w:sz w:val="22"/>
                <w:szCs w:val="22"/>
              </w:rPr>
              <w:t xml:space="preserve">Cardiologist </w:t>
            </w:r>
          </w:p>
          <w:p w14:paraId="447A63EB" w14:textId="77777777" w:rsidR="00000000" w:rsidRDefault="00000000">
            <w:pPr>
              <w:spacing w:after="0"/>
              <w:rPr>
                <w:rFonts w:eastAsia="Times New Roman"/>
              </w:rPr>
            </w:pPr>
          </w:p>
        </w:tc>
      </w:tr>
    </w:tbl>
    <w:p w14:paraId="1A2BB232" w14:textId="77777777" w:rsidR="00000000" w:rsidRDefault="00000000">
      <w:pPr>
        <w:divId w:val="39717217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1BB633D"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195FF80A" w14:textId="77777777" w:rsidR="00000000" w:rsidRDefault="00000000">
            <w:pPr>
              <w:pStyle w:val="sectioncolumnvaluep"/>
            </w:pPr>
            <w:r>
              <w:t xml:space="preserve">Product Name:PREFERRED DRUGS: Alyq, generic tadalafil, generic ambrisentan, Orenitram, generic sildenafil suspension, generic sildenafil tablets, Tracleer tablet for oral suspension; NON-PREFERRED DRUGS: Brand Adcirca, Adempas, Brand Flolan, Brand Veletri, generic eprostenol, Brand Letairis, Opsumit, Opsynvi, Brand Remodulin, generic trepostinil, Brand Revatio tablets, Brand Revatio injection, generic sildenafil injection, Tadliq suspension, Brand Tracleer tablet, generic bosentan, Tyvaso DPI, Tyvaso inhaltion solution, Uptravi, Ventavis </w:t>
            </w:r>
          </w:p>
        </w:tc>
      </w:tr>
      <w:tr w:rsidR="00000000" w14:paraId="5F947470"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CDAD933"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2CB62A7" w14:textId="77777777" w:rsidR="00000000" w:rsidRDefault="00000000">
            <w:pPr>
              <w:pStyle w:val="sectioncolumnvaluep"/>
            </w:pPr>
            <w:r>
              <w:t xml:space="preserve">All indications listed above </w:t>
            </w:r>
          </w:p>
        </w:tc>
      </w:tr>
      <w:tr w:rsidR="00000000" w14:paraId="39C9CFB7"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D43C95F"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C9135CE" w14:textId="77777777" w:rsidR="00000000" w:rsidRDefault="00000000">
            <w:pPr>
              <w:pStyle w:val="sectioncolumnvaluep"/>
            </w:pPr>
            <w:r>
              <w:t xml:space="preserve">12 month(s) </w:t>
            </w:r>
          </w:p>
        </w:tc>
      </w:tr>
      <w:tr w:rsidR="00000000" w14:paraId="70D5D26D"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E327BF2"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1C9ABEF" w14:textId="77777777" w:rsidR="00000000" w:rsidRDefault="00000000">
            <w:pPr>
              <w:pStyle w:val="sectioncolumnvaluep"/>
            </w:pPr>
            <w:r>
              <w:t xml:space="preserve">Reauthorization </w:t>
            </w:r>
          </w:p>
        </w:tc>
      </w:tr>
      <w:tr w:rsidR="00000000" w14:paraId="40E88384"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5F6A14C"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196CAA1" w14:textId="77777777" w:rsidR="00000000" w:rsidRDefault="00000000">
            <w:pPr>
              <w:pStyle w:val="sectioncolumnvaluep"/>
            </w:pPr>
            <w:r>
              <w:t xml:space="preserve">Prior Authorization </w:t>
            </w:r>
          </w:p>
        </w:tc>
      </w:tr>
      <w:tr w:rsidR="00000000" w14:paraId="238B7D94"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30A30B3" w14:textId="77777777" w:rsidR="00000000" w:rsidRDefault="00000000">
            <w:pPr>
              <w:rPr>
                <w:rFonts w:eastAsia="Times New Roman"/>
              </w:rPr>
            </w:pPr>
            <w:r>
              <w:rPr>
                <w:rFonts w:eastAsia="Times New Roman"/>
              </w:rPr>
              <w:br/>
            </w:r>
          </w:p>
          <w:p w14:paraId="28FB2363" w14:textId="77777777" w:rsidR="00000000" w:rsidRDefault="00000000">
            <w:pPr>
              <w:pStyle w:val="sectioncolumnvaluep"/>
            </w:pPr>
            <w:r>
              <w:rPr>
                <w:b/>
                <w:bCs/>
              </w:rPr>
              <w:t xml:space="preserve">Approval Criteria   </w:t>
            </w:r>
          </w:p>
          <w:p w14:paraId="45895712" w14:textId="77777777" w:rsidR="00000000" w:rsidRDefault="00000000">
            <w:pPr>
              <w:pStyle w:val="sectioncolumnvaluep"/>
            </w:pPr>
            <w:r>
              <w:br/>
            </w:r>
            <w:r>
              <w:rPr>
                <w:b/>
                <w:bCs/>
              </w:rPr>
              <w:t xml:space="preserve">1 </w:t>
            </w:r>
            <w:r>
              <w:t xml:space="preserve">- Documentation of positive clinical response to therapy </w:t>
            </w:r>
          </w:p>
          <w:p w14:paraId="40DE19AB" w14:textId="77777777" w:rsidR="00000000" w:rsidRDefault="00000000">
            <w:pPr>
              <w:rPr>
                <w:rFonts w:eastAsia="Times New Roman"/>
              </w:rPr>
            </w:pPr>
          </w:p>
        </w:tc>
      </w:tr>
    </w:tbl>
    <w:p w14:paraId="395D630B" w14:textId="77777777" w:rsidR="00000000" w:rsidRDefault="00000000">
      <w:pPr>
        <w:divId w:val="39717217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6F30875C"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4EAD7363" w14:textId="77777777" w:rsidR="00000000" w:rsidRDefault="00000000">
            <w:pPr>
              <w:pStyle w:val="sectioncolumnvaluep"/>
            </w:pPr>
            <w:r>
              <w:t xml:space="preserve">Product Name:Winrevair Injection </w:t>
            </w:r>
          </w:p>
        </w:tc>
      </w:tr>
      <w:tr w:rsidR="00000000" w14:paraId="4B9E9A4E"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3C5D1EE"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7135487" w14:textId="77777777" w:rsidR="00000000" w:rsidRDefault="00000000">
            <w:pPr>
              <w:pStyle w:val="sectioncolumnvaluep"/>
            </w:pPr>
            <w:r>
              <w:t xml:space="preserve">Pulmonary Arterial Hypertension </w:t>
            </w:r>
          </w:p>
        </w:tc>
      </w:tr>
      <w:tr w:rsidR="00000000" w14:paraId="10A6BBDF"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E928552"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6114C3D" w14:textId="77777777" w:rsidR="00000000" w:rsidRDefault="00000000">
            <w:pPr>
              <w:pStyle w:val="sectioncolumnvaluep"/>
            </w:pPr>
            <w:r>
              <w:t xml:space="preserve">6 month(s) </w:t>
            </w:r>
          </w:p>
        </w:tc>
      </w:tr>
      <w:tr w:rsidR="00000000" w14:paraId="00C24325"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782094A"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2AB4D54" w14:textId="77777777" w:rsidR="00000000" w:rsidRDefault="00000000">
            <w:pPr>
              <w:pStyle w:val="sectioncolumnvaluep"/>
            </w:pPr>
            <w:r>
              <w:t xml:space="preserve">Initial Authorization </w:t>
            </w:r>
          </w:p>
        </w:tc>
      </w:tr>
      <w:tr w:rsidR="00000000" w14:paraId="47B3D9CB"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7969BB1"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7DF9715" w14:textId="77777777" w:rsidR="00000000" w:rsidRDefault="00000000">
            <w:pPr>
              <w:pStyle w:val="sectioncolumnvaluep"/>
            </w:pPr>
            <w:r>
              <w:t xml:space="preserve">Prior Authorization </w:t>
            </w:r>
          </w:p>
        </w:tc>
      </w:tr>
      <w:tr w:rsidR="00000000" w14:paraId="1ED5A529"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9B7206E" w14:textId="77777777" w:rsidR="00000000" w:rsidRDefault="00000000">
            <w:pPr>
              <w:rPr>
                <w:rFonts w:eastAsia="Times New Roman"/>
              </w:rPr>
            </w:pPr>
            <w:r>
              <w:rPr>
                <w:rFonts w:eastAsia="Times New Roman"/>
              </w:rPr>
              <w:br/>
            </w:r>
          </w:p>
          <w:p w14:paraId="6163F413" w14:textId="77777777" w:rsidR="00000000" w:rsidRDefault="00000000">
            <w:pPr>
              <w:pStyle w:val="sectioncolumnvaluep"/>
            </w:pPr>
            <w:r>
              <w:rPr>
                <w:b/>
                <w:bCs/>
              </w:rPr>
              <w:t xml:space="preserve">Approval Criteria   </w:t>
            </w:r>
          </w:p>
          <w:p w14:paraId="52976E1E" w14:textId="77777777" w:rsidR="00000000" w:rsidRDefault="00000000">
            <w:pPr>
              <w:pStyle w:val="sectioncolumnvaluep"/>
            </w:pPr>
            <w:r>
              <w:br/>
            </w:r>
            <w:r>
              <w:rPr>
                <w:b/>
                <w:bCs/>
              </w:rPr>
              <w:t xml:space="preserve">1 </w:t>
            </w:r>
            <w:r>
              <w:t xml:space="preserve">- Diagnosis of pulmonary arterial hypertension </w:t>
            </w:r>
          </w:p>
          <w:p w14:paraId="16686059" w14:textId="77777777" w:rsidR="00000000" w:rsidRDefault="00000000">
            <w:pPr>
              <w:pStyle w:val="logicconnectorp"/>
            </w:pPr>
            <w:r>
              <w:rPr>
                <w:b/>
                <w:bCs/>
              </w:rPr>
              <w:br/>
              <w:t>AND</w:t>
            </w:r>
          </w:p>
          <w:p w14:paraId="3D44FBF1" w14:textId="77777777" w:rsidR="00000000" w:rsidRDefault="00000000">
            <w:pPr>
              <w:pStyle w:val="sectioncolumnvaluep"/>
            </w:pPr>
            <w:r>
              <w:br/>
            </w:r>
            <w:r>
              <w:rPr>
                <w:b/>
                <w:bCs/>
              </w:rPr>
              <w:lastRenderedPageBreak/>
              <w:t xml:space="preserve">2 </w:t>
            </w:r>
            <w:r>
              <w:t xml:space="preserve">- Pulmonary arterial hypertension is symptomatic </w:t>
            </w:r>
          </w:p>
          <w:p w14:paraId="1A821C94" w14:textId="77777777" w:rsidR="00000000" w:rsidRDefault="00000000">
            <w:pPr>
              <w:pStyle w:val="logicconnectorp"/>
            </w:pPr>
            <w:r>
              <w:rPr>
                <w:b/>
                <w:bCs/>
              </w:rPr>
              <w:br/>
              <w:t>AND</w:t>
            </w:r>
          </w:p>
          <w:p w14:paraId="0C8F0CF2" w14:textId="77777777" w:rsidR="00000000" w:rsidRDefault="00000000">
            <w:pPr>
              <w:pStyle w:val="sectioncolumnvaluep"/>
            </w:pPr>
            <w:r>
              <w:br/>
            </w:r>
            <w:r>
              <w:rPr>
                <w:b/>
                <w:bCs/>
              </w:rPr>
              <w:t xml:space="preserve">3 </w:t>
            </w:r>
            <w:r>
              <w:t xml:space="preserve">- Patient is currently on at least two therapies indicated for the treatment of pulmonary arterial hypertension from the following different mechanisms of action, unless there is a contraindication or intolerance: </w:t>
            </w:r>
          </w:p>
          <w:p w14:paraId="66F055B6" w14:textId="77777777" w:rsidR="00000000" w:rsidRDefault="00000000">
            <w:pPr>
              <w:numPr>
                <w:ilvl w:val="0"/>
                <w:numId w:val="20"/>
              </w:numPr>
              <w:spacing w:before="100" w:beforeAutospacing="1" w:after="100" w:afterAutospacing="1" w:line="240" w:lineRule="auto"/>
              <w:rPr>
                <w:rFonts w:eastAsia="Times New Roman"/>
              </w:rPr>
            </w:pPr>
            <w:r>
              <w:rPr>
                <w:rFonts w:ascii="Arial" w:eastAsia="Times New Roman" w:hAnsi="Arial" w:cs="Arial"/>
                <w:sz w:val="22"/>
                <w:szCs w:val="22"/>
              </w:rPr>
              <w:t xml:space="preserve">Endothelin receptor antagonists (i.e., Bosentan, ambrisentan or macitentan) </w:t>
            </w:r>
          </w:p>
          <w:p w14:paraId="2D1510FE" w14:textId="77777777" w:rsidR="00000000" w:rsidRDefault="00000000">
            <w:pPr>
              <w:numPr>
                <w:ilvl w:val="0"/>
                <w:numId w:val="20"/>
              </w:numPr>
              <w:spacing w:before="100" w:beforeAutospacing="1" w:after="100" w:afterAutospacing="1" w:line="240" w:lineRule="auto"/>
              <w:rPr>
                <w:rFonts w:eastAsia="Times New Roman"/>
              </w:rPr>
            </w:pPr>
            <w:r>
              <w:rPr>
                <w:rFonts w:ascii="Arial" w:eastAsia="Times New Roman" w:hAnsi="Arial" w:cs="Arial"/>
                <w:sz w:val="22"/>
                <w:szCs w:val="22"/>
              </w:rPr>
              <w:t xml:space="preserve">Phosphodiesterase 5 inhibitors (i.e., Tadalafil or sildenafil) </w:t>
            </w:r>
          </w:p>
          <w:p w14:paraId="1C39AD01" w14:textId="77777777" w:rsidR="00000000" w:rsidRDefault="00000000">
            <w:pPr>
              <w:pStyle w:val="logicconnectorp"/>
            </w:pPr>
            <w:r>
              <w:rPr>
                <w:b/>
                <w:bCs/>
              </w:rPr>
              <w:br/>
              <w:t>AND</w:t>
            </w:r>
          </w:p>
          <w:p w14:paraId="6BAEB2D6" w14:textId="77777777" w:rsidR="00000000" w:rsidRDefault="00000000">
            <w:pPr>
              <w:pStyle w:val="sectioncolumnvaluep"/>
            </w:pPr>
            <w:r>
              <w:br/>
            </w:r>
            <w:r>
              <w:rPr>
                <w:b/>
                <w:bCs/>
              </w:rPr>
              <w:t xml:space="preserve">4 </w:t>
            </w:r>
            <w:r>
              <w:t xml:space="preserve">- Prescribed by or in consultation with one of the following: </w:t>
            </w:r>
          </w:p>
          <w:p w14:paraId="280FB3C7" w14:textId="77777777" w:rsidR="00000000" w:rsidRDefault="00000000">
            <w:pPr>
              <w:numPr>
                <w:ilvl w:val="0"/>
                <w:numId w:val="21"/>
              </w:numPr>
              <w:spacing w:before="100" w:beforeAutospacing="1" w:after="100" w:afterAutospacing="1" w:line="240" w:lineRule="auto"/>
              <w:rPr>
                <w:rFonts w:eastAsia="Times New Roman"/>
              </w:rPr>
            </w:pPr>
            <w:r>
              <w:rPr>
                <w:rFonts w:ascii="Arial" w:eastAsia="Times New Roman" w:hAnsi="Arial" w:cs="Arial"/>
                <w:sz w:val="22"/>
                <w:szCs w:val="22"/>
              </w:rPr>
              <w:t xml:space="preserve">Pulmonologist </w:t>
            </w:r>
          </w:p>
          <w:p w14:paraId="7D70B2D4" w14:textId="77777777" w:rsidR="00000000" w:rsidRDefault="00000000">
            <w:pPr>
              <w:numPr>
                <w:ilvl w:val="0"/>
                <w:numId w:val="21"/>
              </w:numPr>
              <w:spacing w:before="100" w:beforeAutospacing="1" w:after="100" w:afterAutospacing="1" w:line="240" w:lineRule="auto"/>
              <w:rPr>
                <w:rFonts w:eastAsia="Times New Roman"/>
              </w:rPr>
            </w:pPr>
            <w:r>
              <w:rPr>
                <w:rFonts w:ascii="Arial" w:eastAsia="Times New Roman" w:hAnsi="Arial" w:cs="Arial"/>
                <w:sz w:val="22"/>
                <w:szCs w:val="22"/>
              </w:rPr>
              <w:t xml:space="preserve">Cardiologist </w:t>
            </w:r>
          </w:p>
          <w:p w14:paraId="6789718A" w14:textId="77777777" w:rsidR="00000000" w:rsidRDefault="00000000">
            <w:pPr>
              <w:spacing w:after="0"/>
              <w:rPr>
                <w:rFonts w:eastAsia="Times New Roman"/>
              </w:rPr>
            </w:pPr>
          </w:p>
        </w:tc>
      </w:tr>
    </w:tbl>
    <w:p w14:paraId="052DCA33" w14:textId="77777777" w:rsidR="00000000" w:rsidRDefault="00000000">
      <w:pPr>
        <w:divId w:val="397172176"/>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0A5A5844"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48B2B1C3" w14:textId="77777777" w:rsidR="00000000" w:rsidRDefault="00000000">
            <w:pPr>
              <w:pStyle w:val="sectioncolumnvaluep"/>
            </w:pPr>
            <w:r>
              <w:t xml:space="preserve">Product Name:Winrevair Injection </w:t>
            </w:r>
          </w:p>
        </w:tc>
      </w:tr>
      <w:tr w:rsidR="00000000" w14:paraId="629805EC"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6F8D4B0"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3042F51" w14:textId="77777777" w:rsidR="00000000" w:rsidRDefault="00000000">
            <w:pPr>
              <w:pStyle w:val="sectioncolumnvaluep"/>
            </w:pPr>
            <w:r>
              <w:t xml:space="preserve">Pulmonary Arterial Hypertension </w:t>
            </w:r>
          </w:p>
        </w:tc>
      </w:tr>
      <w:tr w:rsidR="00000000" w14:paraId="60C37105"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D282438"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802715B" w14:textId="77777777" w:rsidR="00000000" w:rsidRDefault="00000000">
            <w:pPr>
              <w:pStyle w:val="sectioncolumnvaluep"/>
            </w:pPr>
            <w:r>
              <w:t xml:space="preserve">12 month(s) </w:t>
            </w:r>
          </w:p>
        </w:tc>
      </w:tr>
      <w:tr w:rsidR="00000000" w14:paraId="275499C7"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4D3B92A"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9734CC3" w14:textId="77777777" w:rsidR="00000000" w:rsidRDefault="00000000">
            <w:pPr>
              <w:pStyle w:val="sectioncolumnvaluep"/>
            </w:pPr>
            <w:r>
              <w:t xml:space="preserve">Reauthorization </w:t>
            </w:r>
          </w:p>
        </w:tc>
      </w:tr>
      <w:tr w:rsidR="00000000" w14:paraId="4C8B2C93"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39C1EF6"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75CC1FF" w14:textId="77777777" w:rsidR="00000000" w:rsidRDefault="00000000">
            <w:pPr>
              <w:pStyle w:val="sectioncolumnvaluep"/>
            </w:pPr>
            <w:r>
              <w:t xml:space="preserve">Prior Authorization </w:t>
            </w:r>
          </w:p>
        </w:tc>
      </w:tr>
      <w:tr w:rsidR="00000000" w14:paraId="6DBB8412" w14:textId="77777777">
        <w:trPr>
          <w:divId w:val="397172176"/>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239F48C" w14:textId="77777777" w:rsidR="00000000" w:rsidRDefault="00000000">
            <w:pPr>
              <w:rPr>
                <w:rFonts w:eastAsia="Times New Roman"/>
              </w:rPr>
            </w:pPr>
            <w:r>
              <w:rPr>
                <w:rFonts w:eastAsia="Times New Roman"/>
              </w:rPr>
              <w:br/>
            </w:r>
          </w:p>
          <w:p w14:paraId="54675CF9" w14:textId="77777777" w:rsidR="00000000" w:rsidRDefault="00000000">
            <w:pPr>
              <w:pStyle w:val="sectioncolumnvaluep"/>
            </w:pPr>
            <w:r>
              <w:rPr>
                <w:b/>
                <w:bCs/>
              </w:rPr>
              <w:t xml:space="preserve">Approval Criteria   </w:t>
            </w:r>
          </w:p>
          <w:p w14:paraId="1C66AC8D" w14:textId="77777777" w:rsidR="00000000" w:rsidRDefault="00000000">
            <w:pPr>
              <w:pStyle w:val="sectioncolumnvaluep"/>
            </w:pPr>
            <w:r>
              <w:br/>
            </w:r>
            <w:r>
              <w:rPr>
                <w:b/>
                <w:bCs/>
              </w:rPr>
              <w:t xml:space="preserve">1 </w:t>
            </w:r>
            <w:r>
              <w:t xml:space="preserve">- Patient demonstrates positive clinical response to therapy </w:t>
            </w:r>
          </w:p>
          <w:p w14:paraId="29F66CE0" w14:textId="77777777" w:rsidR="00000000" w:rsidRDefault="00000000">
            <w:pPr>
              <w:rPr>
                <w:rFonts w:eastAsia="Times New Roman"/>
              </w:rPr>
            </w:pPr>
          </w:p>
        </w:tc>
      </w:tr>
    </w:tbl>
    <w:p w14:paraId="4DC6974E" w14:textId="77777777" w:rsidR="00000000" w:rsidRDefault="00000000">
      <w:pPr>
        <w:spacing w:after="240"/>
        <w:divId w:val="397172176"/>
        <w:rPr>
          <w:rFonts w:ascii="Arial" w:eastAsia="Times New Roman" w:hAnsi="Arial" w:cs="Arial"/>
        </w:rPr>
      </w:pPr>
    </w:p>
    <w:p w14:paraId="56A77369" w14:textId="77777777" w:rsidR="00000000" w:rsidRDefault="00000000">
      <w:pPr>
        <w:pStyle w:val="sectionheaderp"/>
        <w:divId w:val="397172176"/>
      </w:pPr>
      <w:r>
        <w:t xml:space="preserve">2 .  Revision History </w:t>
      </w:r>
    </w:p>
    <w:p w14:paraId="71036872" w14:textId="77777777" w:rsidR="00000000" w:rsidRDefault="00000000">
      <w:pPr>
        <w:divId w:val="397172176"/>
        <w:rPr>
          <w:rFonts w:ascii="Arial" w:eastAsia="Times New Roman" w:hAnsi="Arial" w:cs="Arial"/>
        </w:rPr>
      </w:pPr>
    </w:p>
    <w:tbl>
      <w:tblPr>
        <w:tblW w:w="496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20"/>
        <w:gridCol w:w="6960"/>
      </w:tblGrid>
      <w:tr w:rsidR="00000000" w14:paraId="1835BB6B" w14:textId="77777777">
        <w:trPr>
          <w:divId w:val="397172176"/>
        </w:trPr>
        <w:tc>
          <w:tcPr>
            <w:tcW w:w="12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2ACACD6F"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Date </w:t>
            </w:r>
          </w:p>
        </w:tc>
        <w:tc>
          <w:tcPr>
            <w:tcW w:w="37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4137E414"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Notes </w:t>
            </w:r>
          </w:p>
        </w:tc>
      </w:tr>
      <w:tr w:rsidR="00000000" w14:paraId="25A78BDC" w14:textId="77777777">
        <w:trPr>
          <w:divId w:val="397172176"/>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3BDC7" w14:textId="77777777" w:rsidR="00000000" w:rsidRDefault="00000000">
            <w:pPr>
              <w:rPr>
                <w:rFonts w:ascii="Arial" w:eastAsia="Times New Roman" w:hAnsi="Arial" w:cs="Arial"/>
                <w:sz w:val="22"/>
                <w:szCs w:val="22"/>
              </w:rPr>
            </w:pPr>
          </w:p>
        </w:tc>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46730" w14:textId="77777777" w:rsidR="00000000" w:rsidRDefault="00000000">
            <w:pPr>
              <w:wordWrap w:val="0"/>
              <w:rPr>
                <w:rFonts w:ascii="Arial" w:eastAsia="Times New Roman" w:hAnsi="Arial" w:cs="Arial"/>
                <w:sz w:val="22"/>
                <w:szCs w:val="22"/>
              </w:rPr>
            </w:pPr>
            <w:r>
              <w:rPr>
                <w:rFonts w:ascii="Arial" w:eastAsia="Times New Roman" w:hAnsi="Arial" w:cs="Arial"/>
                <w:sz w:val="22"/>
                <w:szCs w:val="22"/>
              </w:rPr>
              <w:t xml:space="preserve">P&amp;T changes: Tracleer (tab for oral susp) to preferred, generic bosentan to NP. </w:t>
            </w:r>
          </w:p>
        </w:tc>
      </w:tr>
    </w:tbl>
    <w:p w14:paraId="27AD2E4C" w14:textId="77777777" w:rsidR="00000000" w:rsidRDefault="00000000">
      <w:pPr>
        <w:divId w:val="397172176"/>
        <w:rPr>
          <w:rFonts w:eastAsia="Times New Roman"/>
        </w:rPr>
      </w:pPr>
    </w:p>
    <w:p w14:paraId="39D5D601" w14:textId="77777777" w:rsidR="00447855" w:rsidRDefault="00000000">
      <w:pPr>
        <w:pStyle w:val="IndexStyle"/>
        <w:pageBreakBefore/>
      </w:pPr>
      <w:bookmarkStart w:id="3" w:name="_Toc193378718"/>
      <w:r>
        <w:lastRenderedPageBreak/>
        <w:t>SGLT-2 Inhibitors - AZM</w:t>
      </w:r>
      <w:bookmarkEnd w:id="3"/>
    </w:p>
    <w:p w14:paraId="5B7FA746" w14:textId="77777777" w:rsidR="00000000" w:rsidRDefault="00000000">
      <w:pPr>
        <w:spacing w:after="240"/>
        <w:divId w:val="1461147523"/>
        <w:rPr>
          <w:rFonts w:eastAsia="Times New Roman"/>
          <w:kern w:val="0"/>
          <w14:ligatures w14:val="none"/>
        </w:rPr>
      </w:pPr>
      <w:r>
        <w:rPr>
          <w:noProof/>
          <w:sz w:val="20"/>
          <w:szCs w:val="20"/>
        </w:rPr>
        <w:drawing>
          <wp:anchor distT="0" distB="0" distL="0" distR="0" simplePos="0" relativeHeight="251665408" behindDoc="0" locked="0" layoutInCell="1" allowOverlap="0" wp14:anchorId="78BD6B79" wp14:editId="15D0F121">
            <wp:simplePos x="0" y="0"/>
            <wp:positionH relativeFrom="column">
              <wp:align>left</wp:align>
            </wp:positionH>
            <wp:positionV relativeFrom="line">
              <wp:posOffset>0</wp:posOffset>
            </wp:positionV>
            <wp:extent cx="2190750" cy="485775"/>
            <wp:effectExtent l="0" t="0" r="0" b="0"/>
            <wp:wrapSquare wrapText="bothSides"/>
            <wp:docPr id="362699344" name="Picture 36269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10A23" w14:textId="77777777" w:rsidR="00000000" w:rsidRDefault="00000000">
      <w:pPr>
        <w:pStyle w:val="NormalWeb"/>
        <w:jc w:val="center"/>
        <w:divId w:val="1461147523"/>
      </w:pPr>
      <w:r>
        <w:rPr>
          <w:b/>
          <w:bCs/>
        </w:rPr>
        <w:t> </w:t>
      </w:r>
    </w:p>
    <w:p w14:paraId="192EB529" w14:textId="77777777" w:rsidR="00000000" w:rsidRDefault="00000000">
      <w:pPr>
        <w:pStyle w:val="NormalWeb"/>
        <w:jc w:val="center"/>
        <w:divId w:val="1461147523"/>
      </w:pPr>
      <w:r>
        <w:rPr>
          <w:b/>
          <w:bCs/>
        </w:rPr>
        <w:t> </w:t>
      </w:r>
    </w:p>
    <w:p w14:paraId="2FE8B492" w14:textId="77777777" w:rsidR="00000000" w:rsidRDefault="00000000">
      <w:pPr>
        <w:pStyle w:val="documenttitle"/>
        <w:divId w:val="1461147523"/>
      </w:pPr>
      <w:r>
        <w:rPr>
          <w:b/>
          <w:bCs/>
        </w:rPr>
        <w:t>Prior Authorization Guideline</w:t>
      </w:r>
    </w:p>
    <w:p w14:paraId="0D64143E" w14:textId="77777777" w:rsidR="00000000" w:rsidRDefault="00000000">
      <w:pPr>
        <w:pStyle w:val="NormalWeb"/>
        <w:spacing w:before="0" w:beforeAutospacing="0" w:after="0" w:afterAutospacing="0"/>
        <w:divId w:val="1461147523"/>
      </w:pPr>
      <w:r>
        <w:br/>
        <w:t> </w:t>
      </w: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7C602133" w14:textId="77777777">
        <w:trPr>
          <w:divId w:val="1461147523"/>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6941C6" w14:textId="77777777" w:rsidR="00000000" w:rsidRDefault="00000000">
            <w:pPr>
              <w:pStyle w:val="sectioncolumnp"/>
            </w:pPr>
            <w:r>
              <w:t>Guideline ID</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080D2C10" w14:textId="77777777" w:rsidR="00000000" w:rsidRDefault="00000000">
            <w:pPr>
              <w:pStyle w:val="sectioncolumnvaluep"/>
            </w:pPr>
            <w:r>
              <w:t xml:space="preserve">GL-208205 </w:t>
            </w:r>
          </w:p>
        </w:tc>
      </w:tr>
      <w:tr w:rsidR="00000000" w14:paraId="65162627" w14:textId="77777777">
        <w:trPr>
          <w:divId w:val="1461147523"/>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E694FF" w14:textId="77777777" w:rsidR="00000000" w:rsidRDefault="00000000">
            <w:pPr>
              <w:pStyle w:val="sectioncolumnp"/>
            </w:pPr>
            <w:r>
              <w:t>Guideline Name</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3EEEAAAB" w14:textId="77777777" w:rsidR="00000000" w:rsidRDefault="00000000">
            <w:pPr>
              <w:pStyle w:val="sectioncolumnvaluep"/>
            </w:pPr>
            <w:r>
              <w:t xml:space="preserve">SGLT-2 Inhibitors - AZM </w:t>
            </w:r>
          </w:p>
        </w:tc>
      </w:tr>
      <w:tr w:rsidR="00000000" w14:paraId="62776C66" w14:textId="77777777">
        <w:trPr>
          <w:divId w:val="1461147523"/>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C2A3AD" w14:textId="77777777" w:rsidR="00000000" w:rsidRDefault="00000000">
            <w:pPr>
              <w:pStyle w:val="sectioncolumnp"/>
            </w:pPr>
            <w:r>
              <w:t>Formulary</w:t>
            </w:r>
          </w:p>
        </w:tc>
        <w:tc>
          <w:tcPr>
            <w:tcW w:w="3750" w:type="pct"/>
            <w:hideMark/>
          </w:tcPr>
          <w:p w14:paraId="4F0DE0D7" w14:textId="77777777" w:rsidR="00000000" w:rsidRDefault="00000000">
            <w:pPr>
              <w:pStyle w:val="sectioncolumnvaluep"/>
              <w:numPr>
                <w:ilvl w:val="0"/>
                <w:numId w:val="22"/>
              </w:numPr>
              <w:rPr>
                <w:rFonts w:eastAsia="Times New Roman"/>
              </w:rPr>
            </w:pPr>
            <w:r>
              <w:rPr>
                <w:rFonts w:eastAsia="Times New Roman"/>
              </w:rPr>
              <w:t xml:space="preserve">Medicaid - Arizona (AZM, AZMREF, AZMDDD) </w:t>
            </w:r>
          </w:p>
        </w:tc>
      </w:tr>
    </w:tbl>
    <w:p w14:paraId="1A866C29" w14:textId="77777777" w:rsidR="00000000" w:rsidRDefault="00000000">
      <w:pPr>
        <w:spacing w:after="240"/>
        <w:divId w:val="1461147523"/>
        <w:rPr>
          <w:rFonts w:ascii="Arial" w:eastAsia="Times New Roman" w:hAnsi="Arial" w:cs="Arial"/>
        </w:rPr>
      </w:pPr>
      <w:r>
        <w:rPr>
          <w:rFonts w:ascii="Arial" w:eastAsia="Times New Roman" w:hAnsi="Arial" w:cs="Arial"/>
        </w:rPr>
        <w:br/>
      </w:r>
    </w:p>
    <w:p w14:paraId="31F011F9" w14:textId="77777777" w:rsidR="00000000" w:rsidRDefault="00000000">
      <w:pPr>
        <w:pStyle w:val="sectionheaderp"/>
        <w:divId w:val="1461147523"/>
      </w:pPr>
      <w:r>
        <w:t>Guideline Note:</w:t>
      </w:r>
    </w:p>
    <w:tbl>
      <w:tblPr>
        <w:tblW w:w="49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2"/>
        <w:gridCol w:w="6935"/>
      </w:tblGrid>
      <w:tr w:rsidR="00000000" w14:paraId="348AD2F8"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1EE5652" w14:textId="77777777" w:rsidR="00000000" w:rsidRDefault="00000000">
            <w:pPr>
              <w:pStyle w:val="sectioncolumnvaluep"/>
            </w:pPr>
            <w:r>
              <w:t>Effective Date: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F7271F7" w14:textId="77777777" w:rsidR="00000000" w:rsidRDefault="00000000">
            <w:pPr>
              <w:pStyle w:val="sectioncolumnvaluep"/>
            </w:pPr>
            <w:r>
              <w:t xml:space="preserve">4/1/2025 </w:t>
            </w:r>
          </w:p>
        </w:tc>
      </w:tr>
    </w:tbl>
    <w:p w14:paraId="4CCC3D73" w14:textId="77777777" w:rsidR="00000000" w:rsidRDefault="00000000">
      <w:pPr>
        <w:divId w:val="1461147523"/>
        <w:rPr>
          <w:rFonts w:ascii="Arial" w:eastAsia="Times New Roman" w:hAnsi="Arial" w:cs="Arial"/>
        </w:rPr>
      </w:pPr>
      <w:r>
        <w:rPr>
          <w:rFonts w:ascii="Arial" w:eastAsia="Times New Roman" w:hAnsi="Arial" w:cs="Arial"/>
        </w:rPr>
        <w:br/>
      </w:r>
    </w:p>
    <w:p w14:paraId="525E37F2" w14:textId="77777777" w:rsidR="00000000" w:rsidRDefault="00000000">
      <w:pPr>
        <w:spacing w:after="240"/>
        <w:divId w:val="1461147523"/>
        <w:rPr>
          <w:rFonts w:ascii="Arial" w:eastAsia="Times New Roman" w:hAnsi="Arial" w:cs="Arial"/>
        </w:rPr>
      </w:pPr>
      <w:r>
        <w:rPr>
          <w:rFonts w:ascii="Arial" w:eastAsia="Times New Roman" w:hAnsi="Arial" w:cs="Arial"/>
        </w:rPr>
        <w:br/>
      </w:r>
    </w:p>
    <w:p w14:paraId="03953096" w14:textId="77777777" w:rsidR="00000000" w:rsidRDefault="00000000">
      <w:pPr>
        <w:pStyle w:val="sectionheaderp"/>
        <w:divId w:val="1461147523"/>
      </w:pPr>
      <w:r>
        <w:t>1 .  Criteria</w:t>
      </w:r>
    </w:p>
    <w:p w14:paraId="0D758CAA"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6F4C1FD9"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71A202A3" w14:textId="77777777" w:rsidR="00000000" w:rsidRDefault="00000000">
            <w:pPr>
              <w:pStyle w:val="sectioncolumnvaluep"/>
            </w:pPr>
            <w:r>
              <w:t xml:space="preserve">Product Name:Brand Farxiga, generic dapagliflozin </w:t>
            </w:r>
          </w:p>
        </w:tc>
      </w:tr>
      <w:tr w:rsidR="00000000" w14:paraId="121AA7DE"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66EB2C1"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FCC77BE" w14:textId="77777777" w:rsidR="00000000" w:rsidRDefault="00000000">
            <w:pPr>
              <w:pStyle w:val="sectioncolumnvaluep"/>
            </w:pPr>
            <w:r>
              <w:t xml:space="preserve">12 month(s) </w:t>
            </w:r>
          </w:p>
        </w:tc>
      </w:tr>
      <w:tr w:rsidR="00000000" w14:paraId="0DAB3310"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3A69C3C"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9C46032" w14:textId="77777777" w:rsidR="00000000" w:rsidRDefault="00000000">
            <w:pPr>
              <w:pStyle w:val="sectioncolumnvaluep"/>
            </w:pPr>
            <w:r>
              <w:t xml:space="preserve">Prior Authorization </w:t>
            </w:r>
          </w:p>
        </w:tc>
      </w:tr>
      <w:tr w:rsidR="00000000" w14:paraId="19202331"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BD29891" w14:textId="77777777" w:rsidR="00000000" w:rsidRDefault="00000000">
            <w:pPr>
              <w:rPr>
                <w:rFonts w:eastAsia="Times New Roman"/>
              </w:rPr>
            </w:pPr>
            <w:r>
              <w:rPr>
                <w:rFonts w:eastAsia="Times New Roman"/>
              </w:rPr>
              <w:br/>
            </w:r>
          </w:p>
          <w:p w14:paraId="5933F5E0" w14:textId="77777777" w:rsidR="00000000" w:rsidRDefault="00000000">
            <w:pPr>
              <w:pStyle w:val="sectioncolumnvaluep"/>
            </w:pPr>
            <w:r>
              <w:rPr>
                <w:b/>
                <w:bCs/>
              </w:rPr>
              <w:t xml:space="preserve">Approval Criteria   </w:t>
            </w:r>
          </w:p>
          <w:p w14:paraId="396C6E50" w14:textId="77777777" w:rsidR="00000000" w:rsidRDefault="00000000">
            <w:pPr>
              <w:pStyle w:val="sectioncolumnvaluep"/>
            </w:pPr>
            <w:r>
              <w:br/>
            </w:r>
            <w:r>
              <w:rPr>
                <w:b/>
                <w:bCs/>
              </w:rPr>
              <w:t xml:space="preserve">1 </w:t>
            </w:r>
            <w:r>
              <w:t xml:space="preserve">- One of the following: </w:t>
            </w:r>
          </w:p>
          <w:p w14:paraId="0FD0C809" w14:textId="77777777" w:rsidR="00000000" w:rsidRDefault="00000000">
            <w:pPr>
              <w:pStyle w:val="sectioncolumnvaluep"/>
            </w:pPr>
            <w:r>
              <w:rPr>
                <w:b/>
                <w:bCs/>
              </w:rPr>
              <w:br/>
              <w:t xml:space="preserve"> 1.1 </w:t>
            </w:r>
            <w:r>
              <w:t xml:space="preserve">All of the following: </w:t>
            </w:r>
          </w:p>
          <w:p w14:paraId="5796B3FF" w14:textId="77777777" w:rsidR="00000000" w:rsidRDefault="00000000">
            <w:pPr>
              <w:numPr>
                <w:ilvl w:val="0"/>
                <w:numId w:val="23"/>
              </w:numPr>
              <w:spacing w:before="100" w:beforeAutospacing="1" w:after="100" w:afterAutospacing="1" w:line="240" w:lineRule="auto"/>
              <w:rPr>
                <w:rFonts w:eastAsia="Times New Roman"/>
              </w:rPr>
            </w:pPr>
            <w:r>
              <w:rPr>
                <w:rFonts w:ascii="Arial" w:eastAsia="Times New Roman" w:hAnsi="Arial" w:cs="Arial"/>
                <w:sz w:val="22"/>
                <w:szCs w:val="22"/>
              </w:rPr>
              <w:t xml:space="preserve">Patient is 10 years of age or older </w:t>
            </w:r>
          </w:p>
          <w:p w14:paraId="4B84165A" w14:textId="77777777" w:rsidR="00000000" w:rsidRDefault="00000000">
            <w:pPr>
              <w:numPr>
                <w:ilvl w:val="0"/>
                <w:numId w:val="23"/>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255A56EF" w14:textId="77777777" w:rsidR="00000000" w:rsidRDefault="00000000">
            <w:pPr>
              <w:numPr>
                <w:ilvl w:val="0"/>
                <w:numId w:val="23"/>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w:t>
            </w:r>
            <w:r>
              <w:rPr>
                <w:rFonts w:ascii="Arial" w:eastAsia="Times New Roman" w:hAnsi="Arial" w:cs="Arial"/>
                <w:sz w:val="22"/>
                <w:szCs w:val="22"/>
              </w:rPr>
              <w:lastRenderedPageBreak/>
              <w:t xml:space="preserve">contraindication or intolerance to metformin </w:t>
            </w:r>
          </w:p>
          <w:p w14:paraId="15C5D94E" w14:textId="77777777" w:rsidR="00000000" w:rsidRDefault="00000000">
            <w:pPr>
              <w:pStyle w:val="logicconnectorp"/>
            </w:pPr>
            <w:r>
              <w:rPr>
                <w:b/>
                <w:bCs/>
              </w:rPr>
              <w:br/>
              <w:t>or</w:t>
            </w:r>
          </w:p>
          <w:p w14:paraId="622E4DF1" w14:textId="77777777" w:rsidR="00000000" w:rsidRDefault="00000000">
            <w:pPr>
              <w:pStyle w:val="sectioncolumnvaluep"/>
            </w:pPr>
            <w:r>
              <w:rPr>
                <w:b/>
                <w:bCs/>
              </w:rPr>
              <w:br/>
              <w:t xml:space="preserve"> 1.2 </w:t>
            </w:r>
            <w:r>
              <w:t xml:space="preserve">One of the following: </w:t>
            </w:r>
          </w:p>
          <w:p w14:paraId="2570F0C4" w14:textId="77777777" w:rsidR="00000000" w:rsidRDefault="00000000">
            <w:pPr>
              <w:numPr>
                <w:ilvl w:val="0"/>
                <w:numId w:val="24"/>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chronic kidney disease (CKD) </w:t>
            </w:r>
          </w:p>
          <w:p w14:paraId="78D15D5A" w14:textId="77777777" w:rsidR="00000000" w:rsidRDefault="00000000">
            <w:pPr>
              <w:numPr>
                <w:ilvl w:val="0"/>
                <w:numId w:val="24"/>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heart failure (NYHA class II-IV) with reduced ejection fraction </w:t>
            </w:r>
          </w:p>
          <w:p w14:paraId="12F730D9" w14:textId="77777777" w:rsidR="00000000" w:rsidRDefault="00000000">
            <w:pPr>
              <w:numPr>
                <w:ilvl w:val="0"/>
                <w:numId w:val="24"/>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heart failure (NYHA class II-IV) with preserved ejection fraction </w:t>
            </w:r>
          </w:p>
          <w:p w14:paraId="30199EB8" w14:textId="77777777" w:rsidR="00000000" w:rsidRDefault="00000000">
            <w:pPr>
              <w:pStyle w:val="logicconnectorp"/>
            </w:pPr>
            <w:r>
              <w:rPr>
                <w:b/>
                <w:bCs/>
              </w:rPr>
              <w:br/>
              <w:t>AND</w:t>
            </w:r>
          </w:p>
          <w:p w14:paraId="61EAC0EC" w14:textId="77777777" w:rsidR="00000000" w:rsidRDefault="00000000">
            <w:pPr>
              <w:pStyle w:val="sectioncolumnvaluep"/>
            </w:pPr>
            <w:r>
              <w:br/>
            </w:r>
            <w:r>
              <w:rPr>
                <w:b/>
                <w:bCs/>
              </w:rPr>
              <w:t xml:space="preserve">2 </w:t>
            </w:r>
            <w:r>
              <w:t xml:space="preserve">- For generic dapagliflozin requests ONLY: History of failure, intolerance, or contraindication to Brand Farxiga </w:t>
            </w:r>
          </w:p>
          <w:p w14:paraId="05F813E6" w14:textId="77777777" w:rsidR="00000000" w:rsidRDefault="00000000">
            <w:pPr>
              <w:rPr>
                <w:rFonts w:eastAsia="Times New Roman"/>
              </w:rPr>
            </w:pPr>
          </w:p>
        </w:tc>
      </w:tr>
    </w:tbl>
    <w:p w14:paraId="00F2D0F7"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1BF9432"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7E47561D" w14:textId="77777777" w:rsidR="00000000" w:rsidRDefault="00000000">
            <w:pPr>
              <w:pStyle w:val="sectioncolumnvaluep"/>
            </w:pPr>
            <w:r>
              <w:t xml:space="preserve">Product Name:Jardiance, Synjardy, Synjardy XR </w:t>
            </w:r>
          </w:p>
        </w:tc>
      </w:tr>
      <w:tr w:rsidR="00000000" w14:paraId="4AF54B9A"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DA4F257"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BF1EBF1" w14:textId="77777777" w:rsidR="00000000" w:rsidRDefault="00000000">
            <w:pPr>
              <w:pStyle w:val="sectioncolumnvaluep"/>
            </w:pPr>
            <w:r>
              <w:t xml:space="preserve">12 month(s) </w:t>
            </w:r>
          </w:p>
        </w:tc>
      </w:tr>
      <w:tr w:rsidR="00000000" w14:paraId="01F4EE5C"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F621EA0"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23DA523" w14:textId="77777777" w:rsidR="00000000" w:rsidRDefault="00000000">
            <w:pPr>
              <w:pStyle w:val="sectioncolumnvaluep"/>
            </w:pPr>
            <w:r>
              <w:t xml:space="preserve">Prior Authorization </w:t>
            </w:r>
          </w:p>
        </w:tc>
      </w:tr>
      <w:tr w:rsidR="00000000" w14:paraId="57E0157F"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C68ED34" w14:textId="77777777" w:rsidR="00000000" w:rsidRDefault="00000000">
            <w:pPr>
              <w:rPr>
                <w:rFonts w:eastAsia="Times New Roman"/>
              </w:rPr>
            </w:pPr>
            <w:r>
              <w:rPr>
                <w:rFonts w:eastAsia="Times New Roman"/>
              </w:rPr>
              <w:br/>
            </w:r>
          </w:p>
          <w:p w14:paraId="5060BD0F" w14:textId="77777777" w:rsidR="00000000" w:rsidRDefault="00000000">
            <w:pPr>
              <w:pStyle w:val="sectioncolumnvaluep"/>
            </w:pPr>
            <w:r>
              <w:rPr>
                <w:b/>
                <w:bCs/>
              </w:rPr>
              <w:t xml:space="preserve">Approval Criteria   </w:t>
            </w:r>
          </w:p>
          <w:p w14:paraId="2A41B8C6" w14:textId="77777777" w:rsidR="00000000" w:rsidRDefault="00000000">
            <w:pPr>
              <w:pStyle w:val="sectioncolumnvaluep"/>
            </w:pPr>
            <w:r>
              <w:br/>
            </w:r>
            <w:r>
              <w:rPr>
                <w:b/>
                <w:bCs/>
              </w:rPr>
              <w:t xml:space="preserve">1 </w:t>
            </w:r>
            <w:r>
              <w:t xml:space="preserve">- One of the following: </w:t>
            </w:r>
          </w:p>
          <w:p w14:paraId="365A52FB" w14:textId="77777777" w:rsidR="00000000" w:rsidRDefault="00000000">
            <w:pPr>
              <w:pStyle w:val="sectioncolumnvaluep"/>
            </w:pPr>
            <w:r>
              <w:rPr>
                <w:b/>
                <w:bCs/>
              </w:rPr>
              <w:br/>
              <w:t xml:space="preserve"> 1.1 </w:t>
            </w:r>
            <w:r>
              <w:t xml:space="preserve">All of the following: </w:t>
            </w:r>
          </w:p>
          <w:p w14:paraId="422E32DD" w14:textId="77777777" w:rsidR="00000000" w:rsidRDefault="00000000">
            <w:pPr>
              <w:numPr>
                <w:ilvl w:val="0"/>
                <w:numId w:val="25"/>
              </w:numPr>
              <w:spacing w:before="100" w:beforeAutospacing="1" w:after="100" w:afterAutospacing="1" w:line="240" w:lineRule="auto"/>
              <w:rPr>
                <w:rFonts w:eastAsia="Times New Roman"/>
              </w:rPr>
            </w:pPr>
            <w:r>
              <w:rPr>
                <w:rFonts w:ascii="Arial" w:eastAsia="Times New Roman" w:hAnsi="Arial" w:cs="Arial"/>
                <w:sz w:val="22"/>
                <w:szCs w:val="22"/>
              </w:rPr>
              <w:t xml:space="preserve">Patient is 10 years of age or older </w:t>
            </w:r>
          </w:p>
          <w:p w14:paraId="01620D4C" w14:textId="77777777" w:rsidR="00000000" w:rsidRDefault="00000000">
            <w:pPr>
              <w:numPr>
                <w:ilvl w:val="0"/>
                <w:numId w:val="25"/>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29A4DB40" w14:textId="77777777" w:rsidR="00000000" w:rsidRDefault="00000000">
            <w:pPr>
              <w:numPr>
                <w:ilvl w:val="0"/>
                <w:numId w:val="25"/>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contraindication or intolerance to metformin. </w:t>
            </w:r>
          </w:p>
          <w:p w14:paraId="347BFA66" w14:textId="77777777" w:rsidR="00000000" w:rsidRDefault="00000000">
            <w:pPr>
              <w:pStyle w:val="logicconnectorp"/>
            </w:pPr>
            <w:r>
              <w:rPr>
                <w:b/>
                <w:bCs/>
              </w:rPr>
              <w:br/>
              <w:t>or</w:t>
            </w:r>
          </w:p>
          <w:p w14:paraId="1341D95C" w14:textId="77777777" w:rsidR="00000000" w:rsidRDefault="00000000">
            <w:pPr>
              <w:pStyle w:val="sectioncolumnvaluep"/>
            </w:pPr>
            <w:r>
              <w:rPr>
                <w:b/>
                <w:bCs/>
              </w:rPr>
              <w:br/>
              <w:t xml:space="preserve"> 1.2 </w:t>
            </w:r>
            <w:r>
              <w:t xml:space="preserve">Both of the following: </w:t>
            </w:r>
          </w:p>
          <w:p w14:paraId="603C6664" w14:textId="77777777" w:rsidR="00000000" w:rsidRDefault="00000000">
            <w:pPr>
              <w:numPr>
                <w:ilvl w:val="0"/>
                <w:numId w:val="26"/>
              </w:numPr>
              <w:spacing w:before="100" w:beforeAutospacing="1" w:after="100" w:afterAutospacing="1" w:line="240" w:lineRule="auto"/>
              <w:rPr>
                <w:rFonts w:eastAsia="Times New Roman"/>
              </w:rPr>
            </w:pPr>
            <w:r>
              <w:rPr>
                <w:rFonts w:ascii="Arial" w:eastAsia="Times New Roman" w:hAnsi="Arial" w:cs="Arial"/>
                <w:sz w:val="22"/>
                <w:szCs w:val="22"/>
              </w:rPr>
              <w:t xml:space="preserve">Requested medication is being used to reduce the risk of cardiovascular death in adults with type 2 diabetes mellitus and established cardiovascular disease </w:t>
            </w:r>
          </w:p>
          <w:p w14:paraId="0830E2DC" w14:textId="77777777" w:rsidR="00000000" w:rsidRDefault="00000000">
            <w:pPr>
              <w:numPr>
                <w:ilvl w:val="0"/>
                <w:numId w:val="26"/>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w:t>
            </w:r>
            <w:r>
              <w:rPr>
                <w:rFonts w:ascii="Arial" w:eastAsia="Times New Roman" w:hAnsi="Arial" w:cs="Arial"/>
                <w:sz w:val="22"/>
                <w:szCs w:val="22"/>
              </w:rPr>
              <w:lastRenderedPageBreak/>
              <w:t xml:space="preserve">contraindication or intolerance to metformin. </w:t>
            </w:r>
          </w:p>
          <w:p w14:paraId="567BC985" w14:textId="77777777" w:rsidR="00000000" w:rsidRDefault="00000000">
            <w:pPr>
              <w:pStyle w:val="logicconnectorp"/>
            </w:pPr>
            <w:r>
              <w:rPr>
                <w:b/>
                <w:bCs/>
              </w:rPr>
              <w:br/>
              <w:t>or</w:t>
            </w:r>
          </w:p>
          <w:p w14:paraId="65EEC49D" w14:textId="77777777" w:rsidR="00000000" w:rsidRDefault="00000000">
            <w:pPr>
              <w:pStyle w:val="sectioncolumnvaluep"/>
            </w:pPr>
            <w:r>
              <w:rPr>
                <w:b/>
                <w:bCs/>
              </w:rPr>
              <w:br/>
              <w:t xml:space="preserve"> 1.3 </w:t>
            </w:r>
            <w:r>
              <w:t xml:space="preserve">Requested medication is being used for one of the following : </w:t>
            </w:r>
          </w:p>
          <w:p w14:paraId="13F997F3" w14:textId="77777777" w:rsidR="00000000" w:rsidRDefault="00000000">
            <w:pPr>
              <w:numPr>
                <w:ilvl w:val="0"/>
                <w:numId w:val="27"/>
              </w:numPr>
              <w:spacing w:before="100" w:beforeAutospacing="1" w:after="100" w:afterAutospacing="1" w:line="240" w:lineRule="auto"/>
              <w:rPr>
                <w:rFonts w:eastAsia="Times New Roman"/>
              </w:rPr>
            </w:pPr>
            <w:r>
              <w:rPr>
                <w:rFonts w:ascii="Arial" w:eastAsia="Times New Roman" w:hAnsi="Arial" w:cs="Arial"/>
                <w:sz w:val="22"/>
                <w:szCs w:val="22"/>
              </w:rPr>
              <w:t xml:space="preserve">To reduce the risk of cardiovascular death and hospitalization for heart failure in adults with heart failure </w:t>
            </w:r>
          </w:p>
          <w:p w14:paraId="694701BE" w14:textId="77777777" w:rsidR="00000000" w:rsidRDefault="00000000">
            <w:pPr>
              <w:numPr>
                <w:ilvl w:val="0"/>
                <w:numId w:val="27"/>
              </w:numPr>
              <w:spacing w:before="100" w:beforeAutospacing="1" w:after="100" w:afterAutospacing="1" w:line="240" w:lineRule="auto"/>
              <w:rPr>
                <w:rFonts w:eastAsia="Times New Roman"/>
              </w:rPr>
            </w:pPr>
            <w:r>
              <w:rPr>
                <w:rFonts w:ascii="Arial" w:eastAsia="Times New Roman" w:hAnsi="Arial" w:cs="Arial"/>
                <w:sz w:val="22"/>
                <w:szCs w:val="22"/>
              </w:rPr>
              <w:t xml:space="preserve">To reduce the risk of sustained decline in eGFR, end-stage kidney disease, cardiovascular death, and hospitalization in adults with chronic kidney disease at risk of progression. </w:t>
            </w:r>
          </w:p>
          <w:p w14:paraId="641AC644" w14:textId="77777777" w:rsidR="00000000" w:rsidRDefault="00000000">
            <w:pPr>
              <w:pStyle w:val="logicconnectorp"/>
            </w:pPr>
            <w:r>
              <w:rPr>
                <w:b/>
                <w:bCs/>
              </w:rPr>
              <w:br/>
              <w:t>AND</w:t>
            </w:r>
          </w:p>
          <w:p w14:paraId="7234FC49" w14:textId="77777777" w:rsidR="00000000" w:rsidRDefault="00000000">
            <w:pPr>
              <w:pStyle w:val="sectioncolumnvaluep"/>
            </w:pPr>
            <w:r>
              <w:br/>
            </w:r>
            <w:r>
              <w:rPr>
                <w:b/>
                <w:bCs/>
              </w:rPr>
              <w:t xml:space="preserve">2 </w:t>
            </w:r>
            <w:r>
              <w:t xml:space="preserve">- For Synjardy XR requests ONLY; History of failure, intolerance, or contraindication to ALL of the following: </w:t>
            </w:r>
          </w:p>
          <w:p w14:paraId="75BF77B3" w14:textId="77777777" w:rsidR="00000000" w:rsidRDefault="00000000">
            <w:pPr>
              <w:numPr>
                <w:ilvl w:val="0"/>
                <w:numId w:val="28"/>
              </w:numPr>
              <w:spacing w:before="100" w:beforeAutospacing="1" w:after="100" w:afterAutospacing="1" w:line="240" w:lineRule="auto"/>
              <w:rPr>
                <w:rFonts w:eastAsia="Times New Roman"/>
              </w:rPr>
            </w:pPr>
            <w:r>
              <w:rPr>
                <w:rFonts w:ascii="Arial" w:eastAsia="Times New Roman" w:hAnsi="Arial" w:cs="Arial"/>
                <w:sz w:val="22"/>
                <w:szCs w:val="22"/>
              </w:rPr>
              <w:t xml:space="preserve">Farxiga </w:t>
            </w:r>
          </w:p>
          <w:p w14:paraId="4D5FFF8B" w14:textId="77777777" w:rsidR="00000000" w:rsidRDefault="00000000">
            <w:pPr>
              <w:numPr>
                <w:ilvl w:val="0"/>
                <w:numId w:val="28"/>
              </w:numPr>
              <w:spacing w:before="100" w:beforeAutospacing="1" w:after="100" w:afterAutospacing="1" w:line="240" w:lineRule="auto"/>
              <w:rPr>
                <w:rFonts w:eastAsia="Times New Roman"/>
              </w:rPr>
            </w:pPr>
            <w:r>
              <w:rPr>
                <w:rFonts w:ascii="Arial" w:eastAsia="Times New Roman" w:hAnsi="Arial" w:cs="Arial"/>
                <w:sz w:val="22"/>
                <w:szCs w:val="22"/>
              </w:rPr>
              <w:t xml:space="preserve">Jardiance </w:t>
            </w:r>
          </w:p>
          <w:p w14:paraId="76DB5886" w14:textId="77777777" w:rsidR="00000000" w:rsidRDefault="00000000">
            <w:pPr>
              <w:spacing w:after="0"/>
              <w:rPr>
                <w:rFonts w:eastAsia="Times New Roman"/>
              </w:rPr>
            </w:pPr>
          </w:p>
        </w:tc>
      </w:tr>
    </w:tbl>
    <w:p w14:paraId="4AA59D0D"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25B8E71E"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4E86D57C" w14:textId="77777777" w:rsidR="00000000" w:rsidRDefault="00000000">
            <w:pPr>
              <w:pStyle w:val="sectioncolumnvaluep"/>
            </w:pPr>
            <w:r>
              <w:t xml:space="preserve">Product Name:Inovkana, Invokamet, Invokamet XR, Segluromet, Steglatro, Trijardy XR </w:t>
            </w:r>
          </w:p>
        </w:tc>
      </w:tr>
      <w:tr w:rsidR="00000000" w14:paraId="6FB4C1E4"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187210C"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80B9735" w14:textId="77777777" w:rsidR="00000000" w:rsidRDefault="00000000">
            <w:pPr>
              <w:pStyle w:val="sectioncolumnvaluep"/>
            </w:pPr>
            <w:r>
              <w:t xml:space="preserve">12 month(s) </w:t>
            </w:r>
          </w:p>
        </w:tc>
      </w:tr>
      <w:tr w:rsidR="00000000" w14:paraId="506728F2"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47F2891"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D43E2F9" w14:textId="77777777" w:rsidR="00000000" w:rsidRDefault="00000000">
            <w:pPr>
              <w:pStyle w:val="sectioncolumnvaluep"/>
            </w:pPr>
            <w:r>
              <w:t xml:space="preserve">Prior Authorization </w:t>
            </w:r>
          </w:p>
        </w:tc>
      </w:tr>
      <w:tr w:rsidR="00000000" w14:paraId="7DB4531B"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09AB87D" w14:textId="77777777" w:rsidR="00000000" w:rsidRDefault="00000000">
            <w:pPr>
              <w:rPr>
                <w:rFonts w:eastAsia="Times New Roman"/>
              </w:rPr>
            </w:pPr>
            <w:r>
              <w:rPr>
                <w:rFonts w:eastAsia="Times New Roman"/>
              </w:rPr>
              <w:br/>
            </w:r>
          </w:p>
          <w:p w14:paraId="6AA44E74" w14:textId="77777777" w:rsidR="00000000" w:rsidRDefault="00000000">
            <w:pPr>
              <w:pStyle w:val="sectioncolumnvaluep"/>
            </w:pPr>
            <w:r>
              <w:rPr>
                <w:b/>
                <w:bCs/>
              </w:rPr>
              <w:t xml:space="preserve">Approval Criteria   </w:t>
            </w:r>
          </w:p>
          <w:p w14:paraId="3C629713" w14:textId="77777777" w:rsidR="00000000" w:rsidRDefault="00000000">
            <w:pPr>
              <w:pStyle w:val="sectioncolumnvaluep"/>
            </w:pPr>
            <w:r>
              <w:br/>
            </w:r>
            <w:r>
              <w:rPr>
                <w:b/>
                <w:bCs/>
              </w:rPr>
              <w:t xml:space="preserve">1 </w:t>
            </w:r>
            <w:r>
              <w:t xml:space="preserve">- Both of the following: </w:t>
            </w:r>
          </w:p>
          <w:p w14:paraId="2D4A9310" w14:textId="77777777" w:rsidR="00000000" w:rsidRDefault="00000000">
            <w:pPr>
              <w:numPr>
                <w:ilvl w:val="0"/>
                <w:numId w:val="29"/>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20F89A84" w14:textId="77777777" w:rsidR="00000000" w:rsidRDefault="00000000">
            <w:pPr>
              <w:numPr>
                <w:ilvl w:val="0"/>
                <w:numId w:val="29"/>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contraindication or intolerance to metformin </w:t>
            </w:r>
          </w:p>
          <w:p w14:paraId="7C4C7B4A" w14:textId="77777777" w:rsidR="00000000" w:rsidRDefault="00000000">
            <w:pPr>
              <w:pStyle w:val="logicconnectorp"/>
            </w:pPr>
            <w:r>
              <w:rPr>
                <w:b/>
                <w:bCs/>
              </w:rPr>
              <w:br/>
              <w:t>AND</w:t>
            </w:r>
          </w:p>
          <w:p w14:paraId="1D22AEB6" w14:textId="77777777" w:rsidR="00000000" w:rsidRDefault="00000000">
            <w:pPr>
              <w:pStyle w:val="sectioncolumnvaluep"/>
            </w:pPr>
            <w:r>
              <w:br/>
            </w:r>
            <w:r>
              <w:rPr>
                <w:b/>
                <w:bCs/>
              </w:rPr>
              <w:t xml:space="preserve">2 </w:t>
            </w:r>
            <w:r>
              <w:t xml:space="preserve">- History of failure, intolerance, or contraindication to ALL of the following: </w:t>
            </w:r>
          </w:p>
          <w:p w14:paraId="56953416" w14:textId="77777777" w:rsidR="00000000" w:rsidRDefault="00000000">
            <w:pPr>
              <w:numPr>
                <w:ilvl w:val="0"/>
                <w:numId w:val="30"/>
              </w:numPr>
              <w:spacing w:before="100" w:beforeAutospacing="1" w:after="100" w:afterAutospacing="1" w:line="240" w:lineRule="auto"/>
              <w:rPr>
                <w:rFonts w:eastAsia="Times New Roman"/>
              </w:rPr>
            </w:pPr>
            <w:r>
              <w:rPr>
                <w:rFonts w:ascii="Arial" w:eastAsia="Times New Roman" w:hAnsi="Arial" w:cs="Arial"/>
                <w:sz w:val="22"/>
                <w:szCs w:val="22"/>
              </w:rPr>
              <w:lastRenderedPageBreak/>
              <w:t xml:space="preserve">Farxiga </w:t>
            </w:r>
          </w:p>
          <w:p w14:paraId="34FC2422" w14:textId="77777777" w:rsidR="00000000" w:rsidRDefault="00000000">
            <w:pPr>
              <w:numPr>
                <w:ilvl w:val="0"/>
                <w:numId w:val="30"/>
              </w:numPr>
              <w:spacing w:before="100" w:beforeAutospacing="1" w:after="100" w:afterAutospacing="1" w:line="240" w:lineRule="auto"/>
              <w:rPr>
                <w:rFonts w:eastAsia="Times New Roman"/>
              </w:rPr>
            </w:pPr>
            <w:r>
              <w:rPr>
                <w:rFonts w:ascii="Arial" w:eastAsia="Times New Roman" w:hAnsi="Arial" w:cs="Arial"/>
                <w:sz w:val="22"/>
                <w:szCs w:val="22"/>
              </w:rPr>
              <w:t xml:space="preserve">Jardiance </w:t>
            </w:r>
          </w:p>
          <w:p w14:paraId="4802F4A8" w14:textId="77777777" w:rsidR="00000000" w:rsidRDefault="00000000">
            <w:pPr>
              <w:pStyle w:val="logicconnectorp"/>
            </w:pPr>
            <w:r>
              <w:rPr>
                <w:b/>
                <w:bCs/>
              </w:rPr>
              <w:br/>
              <w:t>AND</w:t>
            </w:r>
          </w:p>
          <w:p w14:paraId="3470B5BC" w14:textId="77777777" w:rsidR="00000000" w:rsidRDefault="00000000">
            <w:pPr>
              <w:pStyle w:val="sectioncolumnvaluep"/>
            </w:pPr>
            <w:r>
              <w:br/>
            </w:r>
            <w:r>
              <w:rPr>
                <w:b/>
                <w:bCs/>
              </w:rPr>
              <w:t xml:space="preserve">3 </w:t>
            </w:r>
            <w:r>
              <w:t xml:space="preserve">- Patient is 10 years of age or older (applies to Invokana, Invokamet, Invokamet XR ONLY) </w:t>
            </w:r>
          </w:p>
          <w:p w14:paraId="62F8CBEE" w14:textId="77777777" w:rsidR="00000000" w:rsidRDefault="00000000">
            <w:pPr>
              <w:rPr>
                <w:rFonts w:eastAsia="Times New Roman"/>
              </w:rPr>
            </w:pPr>
          </w:p>
        </w:tc>
      </w:tr>
    </w:tbl>
    <w:p w14:paraId="09E5375C"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6BA6AEC2"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39898456" w14:textId="77777777" w:rsidR="00000000" w:rsidRDefault="00000000">
            <w:pPr>
              <w:pStyle w:val="sectioncolumnvaluep"/>
            </w:pPr>
            <w:r>
              <w:t xml:space="preserve">Product Name:Brand Xigduo XR, generic dapagliflozin-metformin </w:t>
            </w:r>
          </w:p>
        </w:tc>
      </w:tr>
      <w:tr w:rsidR="00000000" w14:paraId="34DB42AC"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48B284F"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99644D4" w14:textId="77777777" w:rsidR="00000000" w:rsidRDefault="00000000">
            <w:pPr>
              <w:pStyle w:val="sectioncolumnvaluep"/>
            </w:pPr>
            <w:r>
              <w:t xml:space="preserve">12 month(s) </w:t>
            </w:r>
          </w:p>
        </w:tc>
      </w:tr>
      <w:tr w:rsidR="00000000" w14:paraId="7D4E4614"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A99892A"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F2FF170" w14:textId="77777777" w:rsidR="00000000" w:rsidRDefault="00000000">
            <w:pPr>
              <w:pStyle w:val="sectioncolumnvaluep"/>
            </w:pPr>
            <w:r>
              <w:t xml:space="preserve">Prior Authorization </w:t>
            </w:r>
          </w:p>
        </w:tc>
      </w:tr>
      <w:tr w:rsidR="00000000" w14:paraId="1D4016BD"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EE358CA" w14:textId="77777777" w:rsidR="00000000" w:rsidRDefault="00000000">
            <w:pPr>
              <w:rPr>
                <w:rFonts w:eastAsia="Times New Roman"/>
              </w:rPr>
            </w:pPr>
            <w:r>
              <w:rPr>
                <w:rFonts w:eastAsia="Times New Roman"/>
              </w:rPr>
              <w:br/>
            </w:r>
          </w:p>
          <w:p w14:paraId="32D20A09" w14:textId="77777777" w:rsidR="00000000" w:rsidRDefault="00000000">
            <w:pPr>
              <w:pStyle w:val="sectioncolumnvaluep"/>
            </w:pPr>
            <w:r>
              <w:rPr>
                <w:b/>
                <w:bCs/>
              </w:rPr>
              <w:t xml:space="preserve">Approval Criteria   </w:t>
            </w:r>
          </w:p>
          <w:p w14:paraId="3ED7CE24" w14:textId="77777777" w:rsidR="00000000" w:rsidRDefault="00000000">
            <w:pPr>
              <w:pStyle w:val="sectioncolumnvaluep"/>
            </w:pPr>
            <w:r>
              <w:br/>
            </w:r>
            <w:r>
              <w:rPr>
                <w:b/>
                <w:bCs/>
              </w:rPr>
              <w:t xml:space="preserve">1 </w:t>
            </w:r>
            <w:r>
              <w:t xml:space="preserve">- One of the following: </w:t>
            </w:r>
          </w:p>
          <w:p w14:paraId="780C10DE" w14:textId="77777777" w:rsidR="00000000" w:rsidRDefault="00000000">
            <w:pPr>
              <w:pStyle w:val="sectioncolumnvaluep"/>
            </w:pPr>
            <w:r>
              <w:rPr>
                <w:b/>
                <w:bCs/>
              </w:rPr>
              <w:br/>
              <w:t xml:space="preserve"> 1.1 </w:t>
            </w:r>
            <w:r>
              <w:t xml:space="preserve">All of the following: </w:t>
            </w:r>
          </w:p>
          <w:p w14:paraId="01F01408" w14:textId="77777777" w:rsidR="00000000" w:rsidRDefault="00000000">
            <w:pPr>
              <w:numPr>
                <w:ilvl w:val="0"/>
                <w:numId w:val="31"/>
              </w:numPr>
              <w:spacing w:before="100" w:beforeAutospacing="1" w:after="100" w:afterAutospacing="1" w:line="240" w:lineRule="auto"/>
              <w:rPr>
                <w:rFonts w:eastAsia="Times New Roman"/>
              </w:rPr>
            </w:pPr>
            <w:r>
              <w:rPr>
                <w:rFonts w:ascii="Arial" w:eastAsia="Times New Roman" w:hAnsi="Arial" w:cs="Arial"/>
                <w:sz w:val="22"/>
                <w:szCs w:val="22"/>
              </w:rPr>
              <w:t xml:space="preserve">Patient is 10 years of age or older </w:t>
            </w:r>
          </w:p>
          <w:p w14:paraId="723D2249" w14:textId="77777777" w:rsidR="00000000" w:rsidRDefault="00000000">
            <w:pPr>
              <w:numPr>
                <w:ilvl w:val="0"/>
                <w:numId w:val="31"/>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2E59513F" w14:textId="77777777" w:rsidR="00000000" w:rsidRDefault="00000000">
            <w:pPr>
              <w:numPr>
                <w:ilvl w:val="0"/>
                <w:numId w:val="31"/>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contraindication or intolerance to metformin. </w:t>
            </w:r>
          </w:p>
          <w:p w14:paraId="338E98B5" w14:textId="77777777" w:rsidR="00000000" w:rsidRDefault="00000000">
            <w:pPr>
              <w:pStyle w:val="logicconnectorp"/>
            </w:pPr>
            <w:r>
              <w:rPr>
                <w:b/>
                <w:bCs/>
              </w:rPr>
              <w:br/>
              <w:t>or</w:t>
            </w:r>
          </w:p>
          <w:p w14:paraId="008521CA" w14:textId="77777777" w:rsidR="00000000" w:rsidRDefault="00000000">
            <w:pPr>
              <w:pStyle w:val="sectioncolumnvaluep"/>
            </w:pPr>
            <w:r>
              <w:rPr>
                <w:b/>
                <w:bCs/>
              </w:rPr>
              <w:br/>
              <w:t xml:space="preserve"> 1.2 </w:t>
            </w:r>
            <w:r>
              <w:t xml:space="preserve">One of the following: </w:t>
            </w:r>
          </w:p>
          <w:p w14:paraId="0E6DE12F" w14:textId="77777777" w:rsidR="00000000" w:rsidRDefault="00000000">
            <w:pPr>
              <w:numPr>
                <w:ilvl w:val="0"/>
                <w:numId w:val="32"/>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chronic kidney disease (CKD) </w:t>
            </w:r>
          </w:p>
          <w:p w14:paraId="28646E4A" w14:textId="77777777" w:rsidR="00000000" w:rsidRDefault="00000000">
            <w:pPr>
              <w:numPr>
                <w:ilvl w:val="0"/>
                <w:numId w:val="32"/>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heart failure (NYHA class II-IV) with reduced ejection fraction </w:t>
            </w:r>
          </w:p>
          <w:p w14:paraId="2FE7E44A" w14:textId="77777777" w:rsidR="00000000" w:rsidRDefault="00000000">
            <w:pPr>
              <w:pStyle w:val="logicconnectorp"/>
            </w:pPr>
            <w:r>
              <w:rPr>
                <w:b/>
                <w:bCs/>
              </w:rPr>
              <w:br/>
              <w:t>AND</w:t>
            </w:r>
          </w:p>
          <w:p w14:paraId="6E2DAD14" w14:textId="77777777" w:rsidR="00000000" w:rsidRDefault="00000000">
            <w:pPr>
              <w:pStyle w:val="sectioncolumnvaluep"/>
            </w:pPr>
            <w:r>
              <w:br/>
            </w:r>
            <w:r>
              <w:rPr>
                <w:b/>
                <w:bCs/>
              </w:rPr>
              <w:t xml:space="preserve">2 </w:t>
            </w:r>
            <w:r>
              <w:t xml:space="preserve">- For generic dapagliflozin-metformin requests ONLY: History of failure, intolerance, or contraindication to Brand Xigduo XR </w:t>
            </w:r>
          </w:p>
          <w:p w14:paraId="6955D7AE" w14:textId="77777777" w:rsidR="00000000" w:rsidRDefault="00000000">
            <w:pPr>
              <w:rPr>
                <w:rFonts w:eastAsia="Times New Roman"/>
              </w:rPr>
            </w:pPr>
          </w:p>
        </w:tc>
      </w:tr>
    </w:tbl>
    <w:p w14:paraId="3EB5130C"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3DBF399"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43A88AA7" w14:textId="77777777" w:rsidR="00000000" w:rsidRDefault="00000000">
            <w:pPr>
              <w:pStyle w:val="sectioncolumnvaluep"/>
            </w:pPr>
            <w:r>
              <w:t xml:space="preserve">Product Name:Brand Bexagliflozin, Brenzavvy, Glyxambi, Qtern, Steglujan </w:t>
            </w:r>
          </w:p>
        </w:tc>
      </w:tr>
      <w:tr w:rsidR="00000000" w14:paraId="54427FCA"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81D00A3" w14:textId="77777777" w:rsidR="00000000" w:rsidRDefault="00000000">
            <w:pPr>
              <w:pStyle w:val="sectioncolumnvaluep"/>
            </w:pPr>
            <w:r>
              <w:lastRenderedPageBreak/>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BAE2EB4" w14:textId="77777777" w:rsidR="00000000" w:rsidRDefault="00000000">
            <w:pPr>
              <w:pStyle w:val="sectioncolumnvaluep"/>
            </w:pPr>
            <w:r>
              <w:t xml:space="preserve">12 month(s) </w:t>
            </w:r>
          </w:p>
        </w:tc>
      </w:tr>
      <w:tr w:rsidR="00000000" w14:paraId="36C18834"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62D3E67"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0BFBCF9" w14:textId="77777777" w:rsidR="00000000" w:rsidRDefault="00000000">
            <w:pPr>
              <w:pStyle w:val="sectioncolumnvaluep"/>
            </w:pPr>
            <w:r>
              <w:t xml:space="preserve">Prior Authorization </w:t>
            </w:r>
          </w:p>
        </w:tc>
      </w:tr>
      <w:tr w:rsidR="00000000" w14:paraId="1D64CF6C"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9931460" w14:textId="77777777" w:rsidR="00000000" w:rsidRDefault="00000000">
            <w:pPr>
              <w:rPr>
                <w:rFonts w:eastAsia="Times New Roman"/>
              </w:rPr>
            </w:pPr>
            <w:r>
              <w:rPr>
                <w:rFonts w:eastAsia="Times New Roman"/>
              </w:rPr>
              <w:br/>
            </w:r>
          </w:p>
          <w:p w14:paraId="5A81666A" w14:textId="77777777" w:rsidR="00000000" w:rsidRDefault="00000000">
            <w:pPr>
              <w:pStyle w:val="sectioncolumnvaluep"/>
            </w:pPr>
            <w:r>
              <w:rPr>
                <w:b/>
                <w:bCs/>
              </w:rPr>
              <w:t xml:space="preserve">Approval Criteria   </w:t>
            </w:r>
          </w:p>
          <w:p w14:paraId="3142CB8C" w14:textId="77777777" w:rsidR="00000000" w:rsidRDefault="00000000">
            <w:pPr>
              <w:pStyle w:val="sectioncolumnvaluep"/>
            </w:pPr>
            <w:r>
              <w:br/>
            </w:r>
            <w:r>
              <w:rPr>
                <w:b/>
                <w:bCs/>
              </w:rPr>
              <w:t xml:space="preserve">1 </w:t>
            </w:r>
            <w:r>
              <w:t xml:space="preserve">- Both of the following: </w:t>
            </w:r>
          </w:p>
          <w:p w14:paraId="6A8787EF" w14:textId="77777777" w:rsidR="00000000" w:rsidRDefault="00000000">
            <w:pPr>
              <w:numPr>
                <w:ilvl w:val="0"/>
                <w:numId w:val="33"/>
              </w:numPr>
              <w:spacing w:before="100" w:beforeAutospacing="1" w:after="100" w:afterAutospacing="1" w:line="240" w:lineRule="auto"/>
              <w:rPr>
                <w:rFonts w:eastAsia="Times New Roman"/>
              </w:rPr>
            </w:pPr>
            <w:r>
              <w:rPr>
                <w:rFonts w:ascii="Arial" w:eastAsia="Times New Roman" w:hAnsi="Arial" w:cs="Arial"/>
                <w:sz w:val="22"/>
                <w:szCs w:val="22"/>
              </w:rPr>
              <w:t xml:space="preserve">Diagnosis of type 2 diabetes mellitus </w:t>
            </w:r>
          </w:p>
          <w:p w14:paraId="6C76C000" w14:textId="77777777" w:rsidR="00000000" w:rsidRDefault="00000000">
            <w:pPr>
              <w:numPr>
                <w:ilvl w:val="0"/>
                <w:numId w:val="33"/>
              </w:numPr>
              <w:spacing w:before="100" w:beforeAutospacing="1" w:after="100" w:afterAutospacing="1" w:line="240" w:lineRule="auto"/>
              <w:rPr>
                <w:rFonts w:eastAsia="Times New Roman"/>
              </w:rPr>
            </w:pPr>
            <w:r>
              <w:rPr>
                <w:rFonts w:ascii="Arial" w:eastAsia="Times New Roman" w:hAnsi="Arial" w:cs="Arial"/>
                <w:sz w:val="22"/>
                <w:szCs w:val="22"/>
              </w:rPr>
              <w:t xml:space="preserve">History of failure to metformin at a minimum dose of 1500mg daily for 90 days, or contraindication or intolerance to metformin </w:t>
            </w:r>
          </w:p>
          <w:p w14:paraId="22B0BA96" w14:textId="77777777" w:rsidR="00000000" w:rsidRDefault="00000000">
            <w:pPr>
              <w:pStyle w:val="logicconnectorp"/>
            </w:pPr>
            <w:r>
              <w:rPr>
                <w:b/>
                <w:bCs/>
              </w:rPr>
              <w:br/>
              <w:t>AND</w:t>
            </w:r>
          </w:p>
          <w:p w14:paraId="70F2C642" w14:textId="77777777" w:rsidR="00000000" w:rsidRDefault="00000000">
            <w:pPr>
              <w:pStyle w:val="sectioncolumnvaluep"/>
            </w:pPr>
            <w:r>
              <w:br/>
            </w:r>
            <w:r>
              <w:rPr>
                <w:b/>
                <w:bCs/>
              </w:rPr>
              <w:t xml:space="preserve">2 </w:t>
            </w:r>
            <w:r>
              <w:t xml:space="preserve">- History and failure, intolerance, or contraindication to ALL of the following: </w:t>
            </w:r>
          </w:p>
          <w:p w14:paraId="2CACD3E7"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Janumet or Janumet XR </w:t>
            </w:r>
          </w:p>
          <w:p w14:paraId="7D4A1D8E"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Januvia </w:t>
            </w:r>
          </w:p>
          <w:p w14:paraId="1F5CCC38"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Jentadueto or Jentadueto XR </w:t>
            </w:r>
          </w:p>
          <w:p w14:paraId="46134F18"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Kombiglyze XR </w:t>
            </w:r>
          </w:p>
          <w:p w14:paraId="6DCE21E2"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Onglyza </w:t>
            </w:r>
          </w:p>
          <w:p w14:paraId="17F6D6F6"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Tradjenta </w:t>
            </w:r>
          </w:p>
          <w:p w14:paraId="73A15895" w14:textId="77777777" w:rsidR="00000000" w:rsidRDefault="00000000">
            <w:pPr>
              <w:numPr>
                <w:ilvl w:val="0"/>
                <w:numId w:val="34"/>
              </w:numPr>
              <w:spacing w:before="100" w:beforeAutospacing="1" w:after="100" w:afterAutospacing="1" w:line="240" w:lineRule="auto"/>
              <w:rPr>
                <w:rFonts w:eastAsia="Times New Roman"/>
              </w:rPr>
            </w:pPr>
            <w:r>
              <w:rPr>
                <w:rFonts w:ascii="Arial" w:eastAsia="Times New Roman" w:hAnsi="Arial" w:cs="Arial"/>
                <w:sz w:val="22"/>
                <w:szCs w:val="22"/>
              </w:rPr>
              <w:t xml:space="preserve">Trijardy XR </w:t>
            </w:r>
          </w:p>
          <w:p w14:paraId="0FD03555" w14:textId="77777777" w:rsidR="00000000" w:rsidRDefault="00000000">
            <w:pPr>
              <w:pStyle w:val="logicconnectorp"/>
            </w:pPr>
            <w:r>
              <w:rPr>
                <w:b/>
                <w:bCs/>
              </w:rPr>
              <w:br/>
              <w:t>AND</w:t>
            </w:r>
          </w:p>
          <w:p w14:paraId="419AB241" w14:textId="77777777" w:rsidR="00000000" w:rsidRDefault="00000000">
            <w:pPr>
              <w:pStyle w:val="sectioncolumnvaluep"/>
            </w:pPr>
            <w:r>
              <w:br/>
            </w:r>
            <w:r>
              <w:rPr>
                <w:b/>
                <w:bCs/>
              </w:rPr>
              <w:t xml:space="preserve">3 </w:t>
            </w:r>
            <w:r>
              <w:t xml:space="preserve">- History of failure, intolerance, or contraindication to ALL of the following: </w:t>
            </w:r>
          </w:p>
          <w:p w14:paraId="66B5402D" w14:textId="77777777" w:rsidR="00000000" w:rsidRDefault="00000000">
            <w:pPr>
              <w:numPr>
                <w:ilvl w:val="0"/>
                <w:numId w:val="35"/>
              </w:numPr>
              <w:spacing w:before="100" w:beforeAutospacing="1" w:after="100" w:afterAutospacing="1" w:line="240" w:lineRule="auto"/>
              <w:rPr>
                <w:rFonts w:eastAsia="Times New Roman"/>
              </w:rPr>
            </w:pPr>
            <w:r>
              <w:rPr>
                <w:rFonts w:ascii="Arial" w:eastAsia="Times New Roman" w:hAnsi="Arial" w:cs="Arial"/>
                <w:sz w:val="22"/>
                <w:szCs w:val="22"/>
              </w:rPr>
              <w:t xml:space="preserve">Farxiga </w:t>
            </w:r>
          </w:p>
          <w:p w14:paraId="526BF303" w14:textId="77777777" w:rsidR="00000000" w:rsidRDefault="00000000">
            <w:pPr>
              <w:numPr>
                <w:ilvl w:val="0"/>
                <w:numId w:val="35"/>
              </w:numPr>
              <w:spacing w:before="100" w:beforeAutospacing="1" w:after="100" w:afterAutospacing="1" w:line="240" w:lineRule="auto"/>
              <w:rPr>
                <w:rFonts w:eastAsia="Times New Roman"/>
              </w:rPr>
            </w:pPr>
            <w:r>
              <w:rPr>
                <w:rFonts w:ascii="Arial" w:eastAsia="Times New Roman" w:hAnsi="Arial" w:cs="Arial"/>
                <w:sz w:val="22"/>
                <w:szCs w:val="22"/>
              </w:rPr>
              <w:t xml:space="preserve">Jardiance </w:t>
            </w:r>
          </w:p>
          <w:p w14:paraId="12568CD0" w14:textId="77777777" w:rsidR="00000000" w:rsidRDefault="00000000">
            <w:pPr>
              <w:spacing w:after="0"/>
              <w:rPr>
                <w:rFonts w:eastAsia="Times New Roman"/>
              </w:rPr>
            </w:pPr>
          </w:p>
        </w:tc>
      </w:tr>
    </w:tbl>
    <w:p w14:paraId="3F761D21" w14:textId="77777777" w:rsidR="00000000" w:rsidRDefault="00000000">
      <w:pPr>
        <w:divId w:val="1461147523"/>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3D97E9F3"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31484BFD" w14:textId="77777777" w:rsidR="00000000" w:rsidRDefault="00000000">
            <w:pPr>
              <w:pStyle w:val="sectioncolumnvaluep"/>
            </w:pPr>
            <w:r>
              <w:t xml:space="preserve">Product Name:Inpefa </w:t>
            </w:r>
          </w:p>
        </w:tc>
      </w:tr>
      <w:tr w:rsidR="00000000" w14:paraId="4CDF963C"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7F6DC3C"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46B8BD1" w14:textId="77777777" w:rsidR="00000000" w:rsidRDefault="00000000">
            <w:pPr>
              <w:pStyle w:val="sectioncolumnvaluep"/>
            </w:pPr>
            <w:r>
              <w:t xml:space="preserve">12 month(s) </w:t>
            </w:r>
          </w:p>
        </w:tc>
      </w:tr>
      <w:tr w:rsidR="00000000" w14:paraId="7BD2D9DE"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8935650"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762FEBA" w14:textId="77777777" w:rsidR="00000000" w:rsidRDefault="00000000">
            <w:pPr>
              <w:pStyle w:val="sectioncolumnvaluep"/>
            </w:pPr>
            <w:r>
              <w:t xml:space="preserve">Prior Authorization </w:t>
            </w:r>
          </w:p>
        </w:tc>
      </w:tr>
      <w:tr w:rsidR="00000000" w14:paraId="72F6E5AF" w14:textId="77777777">
        <w:trPr>
          <w:divId w:val="1461147523"/>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2FD119B" w14:textId="77777777" w:rsidR="00000000" w:rsidRDefault="00000000">
            <w:pPr>
              <w:rPr>
                <w:rFonts w:eastAsia="Times New Roman"/>
              </w:rPr>
            </w:pPr>
            <w:r>
              <w:rPr>
                <w:rFonts w:eastAsia="Times New Roman"/>
              </w:rPr>
              <w:br/>
            </w:r>
          </w:p>
          <w:p w14:paraId="2199602C" w14:textId="77777777" w:rsidR="00000000" w:rsidRDefault="00000000">
            <w:pPr>
              <w:pStyle w:val="sectioncolumnvaluep"/>
            </w:pPr>
            <w:r>
              <w:rPr>
                <w:b/>
                <w:bCs/>
              </w:rPr>
              <w:t xml:space="preserve">Approval Criteria   </w:t>
            </w:r>
          </w:p>
          <w:p w14:paraId="140B2AF0" w14:textId="77777777" w:rsidR="00000000" w:rsidRDefault="00000000">
            <w:pPr>
              <w:pStyle w:val="sectioncolumnvaluep"/>
            </w:pPr>
            <w:r>
              <w:lastRenderedPageBreak/>
              <w:br/>
            </w:r>
            <w:r>
              <w:rPr>
                <w:b/>
                <w:bCs/>
              </w:rPr>
              <w:t xml:space="preserve">1 </w:t>
            </w:r>
            <w:r>
              <w:t xml:space="preserve">- Requested medication is being used to reduce the risk of cardiovascular death, hospitalization for heart failure, and urgent heart failure visit in adults with one of the following: </w:t>
            </w:r>
          </w:p>
          <w:p w14:paraId="0B7B0073" w14:textId="77777777" w:rsidR="00000000" w:rsidRDefault="00000000">
            <w:pPr>
              <w:numPr>
                <w:ilvl w:val="0"/>
                <w:numId w:val="36"/>
              </w:numPr>
              <w:spacing w:before="100" w:beforeAutospacing="1" w:after="100" w:afterAutospacing="1" w:line="240" w:lineRule="auto"/>
              <w:rPr>
                <w:rFonts w:eastAsia="Times New Roman"/>
              </w:rPr>
            </w:pPr>
            <w:r>
              <w:rPr>
                <w:rFonts w:ascii="Arial" w:eastAsia="Times New Roman" w:hAnsi="Arial" w:cs="Arial"/>
                <w:sz w:val="22"/>
                <w:szCs w:val="22"/>
              </w:rPr>
              <w:t xml:space="preserve">heart failure </w:t>
            </w:r>
          </w:p>
          <w:p w14:paraId="08CCE54B" w14:textId="77777777" w:rsidR="00000000" w:rsidRDefault="00000000">
            <w:pPr>
              <w:numPr>
                <w:ilvl w:val="0"/>
                <w:numId w:val="36"/>
              </w:numPr>
              <w:spacing w:before="100" w:beforeAutospacing="1" w:after="100" w:afterAutospacing="1" w:line="240" w:lineRule="auto"/>
              <w:rPr>
                <w:rFonts w:eastAsia="Times New Roman"/>
              </w:rPr>
            </w:pPr>
            <w:r>
              <w:rPr>
                <w:rFonts w:ascii="Arial" w:eastAsia="Times New Roman" w:hAnsi="Arial" w:cs="Arial"/>
                <w:sz w:val="22"/>
                <w:szCs w:val="22"/>
              </w:rPr>
              <w:t xml:space="preserve">type 2 diabetes mellitus, chronic kidney disease, and other cardiovascular risk factors </w:t>
            </w:r>
          </w:p>
          <w:p w14:paraId="3785137C" w14:textId="77777777" w:rsidR="00000000" w:rsidRDefault="00000000">
            <w:pPr>
              <w:pStyle w:val="logicconnectorp"/>
            </w:pPr>
            <w:r>
              <w:rPr>
                <w:b/>
                <w:bCs/>
              </w:rPr>
              <w:br/>
              <w:t>AND</w:t>
            </w:r>
          </w:p>
          <w:p w14:paraId="07496074" w14:textId="77777777" w:rsidR="00000000" w:rsidRDefault="00000000">
            <w:pPr>
              <w:pStyle w:val="sectioncolumnvaluep"/>
            </w:pPr>
            <w:r>
              <w:br/>
            </w:r>
            <w:r>
              <w:rPr>
                <w:b/>
                <w:bCs/>
              </w:rPr>
              <w:t xml:space="preserve">2 </w:t>
            </w:r>
            <w:r>
              <w:t xml:space="preserve">- History of failure, intolerance, or contraindication to Farxiga </w:t>
            </w:r>
          </w:p>
          <w:p w14:paraId="250604E7" w14:textId="77777777" w:rsidR="00000000" w:rsidRDefault="00000000">
            <w:pPr>
              <w:rPr>
                <w:rFonts w:eastAsia="Times New Roman"/>
              </w:rPr>
            </w:pPr>
          </w:p>
        </w:tc>
      </w:tr>
    </w:tbl>
    <w:p w14:paraId="04D66DA1" w14:textId="77777777" w:rsidR="00000000" w:rsidRDefault="00000000">
      <w:pPr>
        <w:spacing w:after="240"/>
        <w:divId w:val="1461147523"/>
        <w:rPr>
          <w:rFonts w:ascii="Arial" w:eastAsia="Times New Roman" w:hAnsi="Arial" w:cs="Arial"/>
        </w:rPr>
      </w:pPr>
    </w:p>
    <w:p w14:paraId="31386120" w14:textId="77777777" w:rsidR="00000000" w:rsidRDefault="00000000">
      <w:pPr>
        <w:pStyle w:val="sectionheaderp"/>
        <w:divId w:val="1461147523"/>
      </w:pPr>
      <w:r>
        <w:t xml:space="preserve">2 .  Revision History </w:t>
      </w:r>
    </w:p>
    <w:p w14:paraId="5AF2E5D6" w14:textId="77777777" w:rsidR="00000000" w:rsidRDefault="00000000">
      <w:pPr>
        <w:divId w:val="1461147523"/>
        <w:rPr>
          <w:rFonts w:ascii="Arial" w:eastAsia="Times New Roman" w:hAnsi="Arial" w:cs="Arial"/>
        </w:rPr>
      </w:pPr>
    </w:p>
    <w:tbl>
      <w:tblPr>
        <w:tblW w:w="496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20"/>
        <w:gridCol w:w="6960"/>
      </w:tblGrid>
      <w:tr w:rsidR="00000000" w14:paraId="2E57B90D" w14:textId="77777777">
        <w:trPr>
          <w:divId w:val="1461147523"/>
        </w:trPr>
        <w:tc>
          <w:tcPr>
            <w:tcW w:w="12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33681B15"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Date </w:t>
            </w:r>
          </w:p>
        </w:tc>
        <w:tc>
          <w:tcPr>
            <w:tcW w:w="37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3BE3D463"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Notes </w:t>
            </w:r>
          </w:p>
        </w:tc>
      </w:tr>
      <w:tr w:rsidR="00000000" w14:paraId="04049CE5" w14:textId="77777777">
        <w:trPr>
          <w:divId w:val="1461147523"/>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2EE74" w14:textId="77777777" w:rsidR="00000000" w:rsidRDefault="00000000">
            <w:pPr>
              <w:rPr>
                <w:rFonts w:ascii="Arial" w:eastAsia="Times New Roman" w:hAnsi="Arial" w:cs="Arial"/>
                <w:sz w:val="22"/>
                <w:szCs w:val="22"/>
              </w:rPr>
            </w:pPr>
          </w:p>
        </w:tc>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2C3F6" w14:textId="77777777" w:rsidR="00000000" w:rsidRDefault="00000000">
            <w:pPr>
              <w:wordWrap w:val="0"/>
              <w:rPr>
                <w:rFonts w:ascii="Arial" w:eastAsia="Times New Roman" w:hAnsi="Arial" w:cs="Arial"/>
                <w:sz w:val="22"/>
                <w:szCs w:val="22"/>
              </w:rPr>
            </w:pPr>
            <w:r>
              <w:rPr>
                <w:rFonts w:ascii="Arial" w:eastAsia="Times New Roman" w:hAnsi="Arial" w:cs="Arial"/>
                <w:sz w:val="22"/>
                <w:szCs w:val="22"/>
              </w:rPr>
              <w:t xml:space="preserve">P&amp;T changes: Invokana/Invokamet to NP. Removed Invokana as preferred t/f alt. Moved Synjardy/XR to Jardiance section due to expanded indication. </w:t>
            </w:r>
          </w:p>
        </w:tc>
      </w:tr>
    </w:tbl>
    <w:p w14:paraId="4003BF94" w14:textId="77777777" w:rsidR="00000000" w:rsidRDefault="00000000">
      <w:pPr>
        <w:divId w:val="1461147523"/>
        <w:rPr>
          <w:rFonts w:eastAsia="Times New Roman"/>
        </w:rPr>
      </w:pPr>
    </w:p>
    <w:p w14:paraId="6AD9680E" w14:textId="77777777" w:rsidR="00447855" w:rsidRDefault="00000000">
      <w:pPr>
        <w:pStyle w:val="IndexStyle"/>
        <w:pageBreakBefore/>
      </w:pPr>
      <w:bookmarkStart w:id="4" w:name="_Toc193378719"/>
      <w:r>
        <w:lastRenderedPageBreak/>
        <w:t>Testosterone - AZM</w:t>
      </w:r>
      <w:bookmarkEnd w:id="4"/>
    </w:p>
    <w:p w14:paraId="3179D261" w14:textId="77777777" w:rsidR="00000000" w:rsidRDefault="00000000">
      <w:pPr>
        <w:spacing w:after="240"/>
        <w:divId w:val="556743882"/>
        <w:rPr>
          <w:rFonts w:eastAsia="Times New Roman"/>
          <w:kern w:val="0"/>
          <w14:ligatures w14:val="none"/>
        </w:rPr>
      </w:pPr>
      <w:r>
        <w:rPr>
          <w:noProof/>
          <w:sz w:val="20"/>
          <w:szCs w:val="20"/>
        </w:rPr>
        <w:drawing>
          <wp:anchor distT="0" distB="0" distL="0" distR="0" simplePos="0" relativeHeight="251667456" behindDoc="0" locked="0" layoutInCell="1" allowOverlap="0" wp14:anchorId="0BBF2F52" wp14:editId="40871656">
            <wp:simplePos x="0" y="0"/>
            <wp:positionH relativeFrom="column">
              <wp:align>left</wp:align>
            </wp:positionH>
            <wp:positionV relativeFrom="line">
              <wp:posOffset>0</wp:posOffset>
            </wp:positionV>
            <wp:extent cx="2190750" cy="485775"/>
            <wp:effectExtent l="0" t="0" r="0" b="0"/>
            <wp:wrapSquare wrapText="bothSides"/>
            <wp:docPr id="399717202" name="Picture 39971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89F4B" w14:textId="77777777" w:rsidR="00000000" w:rsidRDefault="00000000">
      <w:pPr>
        <w:pStyle w:val="NormalWeb"/>
        <w:jc w:val="center"/>
        <w:divId w:val="556743882"/>
      </w:pPr>
      <w:r>
        <w:rPr>
          <w:b/>
          <w:bCs/>
        </w:rPr>
        <w:t> </w:t>
      </w:r>
    </w:p>
    <w:p w14:paraId="7953C1BB" w14:textId="77777777" w:rsidR="00000000" w:rsidRDefault="00000000">
      <w:pPr>
        <w:pStyle w:val="NormalWeb"/>
        <w:jc w:val="center"/>
        <w:divId w:val="556743882"/>
      </w:pPr>
      <w:r>
        <w:rPr>
          <w:b/>
          <w:bCs/>
        </w:rPr>
        <w:t> </w:t>
      </w:r>
    </w:p>
    <w:p w14:paraId="1D3C19B3" w14:textId="77777777" w:rsidR="00000000" w:rsidRDefault="00000000">
      <w:pPr>
        <w:pStyle w:val="documenttitle"/>
        <w:divId w:val="556743882"/>
      </w:pPr>
      <w:r>
        <w:rPr>
          <w:b/>
          <w:bCs/>
        </w:rPr>
        <w:t>Prior Authorization Guideline</w:t>
      </w:r>
    </w:p>
    <w:p w14:paraId="25B297C2" w14:textId="77777777" w:rsidR="00000000" w:rsidRDefault="00000000">
      <w:pPr>
        <w:pStyle w:val="NormalWeb"/>
        <w:spacing w:before="0" w:beforeAutospacing="0" w:after="0" w:afterAutospacing="0"/>
        <w:divId w:val="556743882"/>
      </w:pPr>
      <w:r>
        <w:br/>
        <w:t> </w:t>
      </w: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2E9262FC" w14:textId="77777777">
        <w:trPr>
          <w:divId w:val="556743882"/>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74BC00" w14:textId="77777777" w:rsidR="00000000" w:rsidRDefault="00000000">
            <w:pPr>
              <w:pStyle w:val="sectioncolumnp"/>
            </w:pPr>
            <w:r>
              <w:t>Guideline ID</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4C5D33A0" w14:textId="77777777" w:rsidR="00000000" w:rsidRDefault="00000000">
            <w:pPr>
              <w:pStyle w:val="sectioncolumnvaluep"/>
            </w:pPr>
            <w:r>
              <w:t xml:space="preserve">GL-208207 </w:t>
            </w:r>
          </w:p>
        </w:tc>
      </w:tr>
      <w:tr w:rsidR="00000000" w14:paraId="04948020" w14:textId="77777777">
        <w:trPr>
          <w:divId w:val="556743882"/>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EC1991" w14:textId="77777777" w:rsidR="00000000" w:rsidRDefault="00000000">
            <w:pPr>
              <w:pStyle w:val="sectioncolumnp"/>
            </w:pPr>
            <w:r>
              <w:t>Guideline Name</w:t>
            </w:r>
          </w:p>
        </w:tc>
        <w:tc>
          <w:tcPr>
            <w:tcW w:w="3750"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3C9D961C" w14:textId="77777777" w:rsidR="00000000" w:rsidRDefault="00000000">
            <w:pPr>
              <w:pStyle w:val="sectioncolumnvaluep"/>
            </w:pPr>
            <w:r>
              <w:t xml:space="preserve">Testosterone - AZM </w:t>
            </w:r>
          </w:p>
        </w:tc>
      </w:tr>
      <w:tr w:rsidR="00000000" w14:paraId="2A05EAE5" w14:textId="77777777">
        <w:trPr>
          <w:divId w:val="556743882"/>
        </w:trPr>
        <w:tc>
          <w:tcPr>
            <w:tcW w:w="1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03F7D5" w14:textId="77777777" w:rsidR="00000000" w:rsidRDefault="00000000">
            <w:pPr>
              <w:pStyle w:val="sectioncolumnp"/>
            </w:pPr>
            <w:r>
              <w:t>Formulary</w:t>
            </w:r>
          </w:p>
        </w:tc>
        <w:tc>
          <w:tcPr>
            <w:tcW w:w="3750" w:type="pct"/>
            <w:hideMark/>
          </w:tcPr>
          <w:p w14:paraId="434786A9" w14:textId="77777777" w:rsidR="00000000" w:rsidRDefault="00000000">
            <w:pPr>
              <w:pStyle w:val="sectioncolumnvaluep"/>
              <w:numPr>
                <w:ilvl w:val="0"/>
                <w:numId w:val="37"/>
              </w:numPr>
              <w:rPr>
                <w:rFonts w:eastAsia="Times New Roman"/>
              </w:rPr>
            </w:pPr>
            <w:r>
              <w:rPr>
                <w:rFonts w:eastAsia="Times New Roman"/>
              </w:rPr>
              <w:t xml:space="preserve">Medicaid - Arizona (AZM, AZMREF, AZMDDD) </w:t>
            </w:r>
          </w:p>
        </w:tc>
      </w:tr>
    </w:tbl>
    <w:p w14:paraId="40112371" w14:textId="77777777" w:rsidR="00000000" w:rsidRDefault="00000000">
      <w:pPr>
        <w:spacing w:after="240"/>
        <w:divId w:val="556743882"/>
        <w:rPr>
          <w:rFonts w:ascii="Arial" w:eastAsia="Times New Roman" w:hAnsi="Arial" w:cs="Arial"/>
        </w:rPr>
      </w:pPr>
      <w:r>
        <w:rPr>
          <w:rFonts w:ascii="Arial" w:eastAsia="Times New Roman" w:hAnsi="Arial" w:cs="Arial"/>
        </w:rPr>
        <w:br/>
      </w:r>
    </w:p>
    <w:p w14:paraId="6C896E21" w14:textId="77777777" w:rsidR="00000000" w:rsidRDefault="00000000">
      <w:pPr>
        <w:pStyle w:val="sectionheaderp"/>
        <w:divId w:val="556743882"/>
      </w:pPr>
      <w:r>
        <w:t>Guideline Note:</w:t>
      </w:r>
    </w:p>
    <w:tbl>
      <w:tblPr>
        <w:tblW w:w="49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2"/>
        <w:gridCol w:w="6935"/>
      </w:tblGrid>
      <w:tr w:rsidR="00000000" w14:paraId="6C0F7AF1"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F52DE26" w14:textId="77777777" w:rsidR="00000000" w:rsidRDefault="00000000">
            <w:pPr>
              <w:pStyle w:val="sectioncolumnvaluep"/>
            </w:pPr>
            <w:r>
              <w:t>Effective Date: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92142E0" w14:textId="77777777" w:rsidR="00000000" w:rsidRDefault="00000000">
            <w:pPr>
              <w:pStyle w:val="sectioncolumnvaluep"/>
            </w:pPr>
            <w:r>
              <w:t xml:space="preserve">4/1/2025 </w:t>
            </w:r>
          </w:p>
        </w:tc>
      </w:tr>
    </w:tbl>
    <w:p w14:paraId="28EC5B26" w14:textId="77777777" w:rsidR="00000000" w:rsidRDefault="00000000">
      <w:pPr>
        <w:divId w:val="556743882"/>
        <w:rPr>
          <w:rFonts w:ascii="Arial" w:eastAsia="Times New Roman" w:hAnsi="Arial" w:cs="Arial"/>
        </w:rPr>
      </w:pPr>
      <w:r>
        <w:rPr>
          <w:rFonts w:ascii="Arial" w:eastAsia="Times New Roman" w:hAnsi="Arial" w:cs="Arial"/>
        </w:rPr>
        <w:br/>
      </w:r>
    </w:p>
    <w:p w14:paraId="0E71945A" w14:textId="77777777" w:rsidR="00000000" w:rsidRDefault="00000000">
      <w:pPr>
        <w:spacing w:after="240"/>
        <w:divId w:val="556743882"/>
        <w:rPr>
          <w:rFonts w:ascii="Arial" w:eastAsia="Times New Roman" w:hAnsi="Arial" w:cs="Arial"/>
        </w:rPr>
      </w:pPr>
      <w:r>
        <w:rPr>
          <w:rFonts w:ascii="Arial" w:eastAsia="Times New Roman" w:hAnsi="Arial" w:cs="Arial"/>
        </w:rPr>
        <w:br/>
      </w:r>
    </w:p>
    <w:p w14:paraId="3655087A" w14:textId="77777777" w:rsidR="00000000" w:rsidRDefault="00000000">
      <w:pPr>
        <w:pStyle w:val="sectionheaderp"/>
        <w:divId w:val="556743882"/>
      </w:pPr>
      <w:r>
        <w:t>1 .  Criteria</w:t>
      </w:r>
    </w:p>
    <w:p w14:paraId="77330A9B" w14:textId="77777777" w:rsidR="00000000" w:rsidRDefault="00000000">
      <w:pPr>
        <w:divId w:val="556743882"/>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2A5476A"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7C2AD7C9" w14:textId="77777777" w:rsidR="00000000" w:rsidRDefault="00000000">
            <w:pPr>
              <w:pStyle w:val="sectioncolumnvaluep"/>
            </w:pPr>
            <w:r>
              <w:t xml:space="preserve">Product Name:Brand Androgel pump, generic testosterone 1.62% pump (generic Androgel pump), Brand Androgel gel, generic testosterone gel (generic Androgel), testosterone enanthate, testosterone topical 30mg/act solution, testosterone cypionate, Brand Testim, generic testosterone 50mg/5gm TD gel (generic Testim), Brand Vogelxo, generic testosterone TD gel (generic Vogelxo), Azmiro, Jatenzo, Kyzatrex, Tlando, Undecatrex </w:t>
            </w:r>
          </w:p>
        </w:tc>
      </w:tr>
      <w:tr w:rsidR="00000000" w14:paraId="249C744B"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9B157B1"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37E0541" w14:textId="77777777" w:rsidR="00000000" w:rsidRDefault="00000000">
            <w:pPr>
              <w:pStyle w:val="sectioncolumnvaluep"/>
            </w:pPr>
            <w:r>
              <w:t xml:space="preserve">Hypogonadism </w:t>
            </w:r>
          </w:p>
        </w:tc>
      </w:tr>
      <w:tr w:rsidR="00000000" w14:paraId="4F8B65E7"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1262762"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FC18EAD" w14:textId="77777777" w:rsidR="00000000" w:rsidRDefault="00000000">
            <w:pPr>
              <w:pStyle w:val="sectioncolumnvaluep"/>
            </w:pPr>
            <w:r>
              <w:t xml:space="preserve">12 month(s) </w:t>
            </w:r>
          </w:p>
        </w:tc>
      </w:tr>
      <w:tr w:rsidR="00000000" w14:paraId="7F0A13F9"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1D12DB4"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0D3239D" w14:textId="77777777" w:rsidR="00000000" w:rsidRDefault="00000000">
            <w:pPr>
              <w:pStyle w:val="sectioncolumnvaluep"/>
            </w:pPr>
            <w:r>
              <w:t xml:space="preserve">Initial Authorization </w:t>
            </w:r>
          </w:p>
        </w:tc>
      </w:tr>
      <w:tr w:rsidR="00000000" w14:paraId="362C282C"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0AD44C6"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2342995" w14:textId="77777777" w:rsidR="00000000" w:rsidRDefault="00000000">
            <w:pPr>
              <w:pStyle w:val="sectioncolumnvaluep"/>
            </w:pPr>
            <w:r>
              <w:t xml:space="preserve">Prior Authorization </w:t>
            </w:r>
          </w:p>
        </w:tc>
      </w:tr>
      <w:tr w:rsidR="00000000" w14:paraId="6CE19315"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70E012A" w14:textId="77777777" w:rsidR="00000000" w:rsidRDefault="00000000">
            <w:pPr>
              <w:rPr>
                <w:rFonts w:eastAsia="Times New Roman"/>
              </w:rPr>
            </w:pPr>
            <w:r>
              <w:rPr>
                <w:rFonts w:eastAsia="Times New Roman"/>
              </w:rPr>
              <w:br/>
            </w:r>
          </w:p>
          <w:p w14:paraId="4F4F98A6" w14:textId="77777777" w:rsidR="00000000" w:rsidRDefault="00000000">
            <w:pPr>
              <w:pStyle w:val="sectioncolumnvaluep"/>
            </w:pPr>
            <w:r>
              <w:rPr>
                <w:b/>
                <w:bCs/>
              </w:rPr>
              <w:t xml:space="preserve">Approval Criteria   </w:t>
            </w:r>
          </w:p>
          <w:p w14:paraId="3BA003D4" w14:textId="77777777" w:rsidR="00000000" w:rsidRDefault="00000000">
            <w:pPr>
              <w:pStyle w:val="sectioncolumnvaluep"/>
            </w:pPr>
            <w:r>
              <w:br/>
            </w:r>
            <w:r>
              <w:rPr>
                <w:b/>
                <w:bCs/>
              </w:rPr>
              <w:lastRenderedPageBreak/>
              <w:t xml:space="preserve">1 </w:t>
            </w:r>
            <w:r>
              <w:t xml:space="preserve">- Submission of medical records (e.g., chart notes, lab work, imaging) documenting ONE of the following: </w:t>
            </w:r>
          </w:p>
          <w:p w14:paraId="04BFA899" w14:textId="77777777" w:rsidR="00000000" w:rsidRDefault="00000000">
            <w:pPr>
              <w:pStyle w:val="sectioncolumnvaluep"/>
            </w:pPr>
            <w:r>
              <w:rPr>
                <w:b/>
                <w:bCs/>
              </w:rPr>
              <w:br/>
              <w:t xml:space="preserve"> 1.1 </w:t>
            </w:r>
            <w:r>
              <w:t xml:space="preserve">TWO pre-treatment serum total testosterone levels less than 300 ng/dL (less than 10.4 nmol/L) or less than the reference range for the lab, taken at separate times (Document lab value and date for both levels) </w:t>
            </w:r>
          </w:p>
          <w:p w14:paraId="47B39B1F" w14:textId="77777777" w:rsidR="00000000" w:rsidRDefault="00000000">
            <w:pPr>
              <w:pStyle w:val="logicconnectorp"/>
            </w:pPr>
            <w:r>
              <w:rPr>
                <w:b/>
                <w:bCs/>
              </w:rPr>
              <w:br/>
              <w:t>or</w:t>
            </w:r>
          </w:p>
          <w:p w14:paraId="5052CE2D" w14:textId="77777777" w:rsidR="00000000" w:rsidRDefault="00000000">
            <w:pPr>
              <w:pStyle w:val="sectioncolumnvaluep"/>
            </w:pPr>
            <w:r>
              <w:rPr>
                <w:b/>
                <w:bCs/>
              </w:rPr>
              <w:br/>
              <w:t xml:space="preserve"> 1.2 </w:t>
            </w:r>
            <w:r>
              <w:t xml:space="preserve">BOTH of the following: </w:t>
            </w:r>
          </w:p>
          <w:p w14:paraId="13BC6CFE" w14:textId="77777777" w:rsidR="00000000" w:rsidRDefault="00000000">
            <w:pPr>
              <w:pStyle w:val="sectioncolumnvaluep"/>
            </w:pPr>
            <w:r>
              <w:rPr>
                <w:b/>
                <w:bCs/>
              </w:rPr>
              <w:br/>
              <w:t xml:space="preserve">  1.2.1 </w:t>
            </w:r>
            <w:r>
              <w:t xml:space="preserve">Patient has a condition that may cause altered sex-hormone binding globulin (SHBG) (e.g., thyroid disorder, HIV disease, liver disorder, diabetes, obesity) </w:t>
            </w:r>
          </w:p>
          <w:p w14:paraId="3EADFB2E" w14:textId="77777777" w:rsidR="00000000" w:rsidRDefault="00000000">
            <w:pPr>
              <w:pStyle w:val="logicconnectorp"/>
            </w:pPr>
            <w:r>
              <w:rPr>
                <w:b/>
                <w:bCs/>
              </w:rPr>
              <w:br/>
              <w:t>AND</w:t>
            </w:r>
          </w:p>
          <w:p w14:paraId="3389E250" w14:textId="77777777" w:rsidR="00000000" w:rsidRDefault="00000000">
            <w:pPr>
              <w:pStyle w:val="sectioncolumnvaluep"/>
            </w:pPr>
            <w:r>
              <w:rPr>
                <w:b/>
                <w:bCs/>
              </w:rPr>
              <w:br/>
              <w:t xml:space="preserve">  1.2.2 </w:t>
            </w:r>
            <w:r>
              <w:t xml:space="preserve">ONE pre-treatment calculated free or bioavailable testosterone level less than 50 pg/mL (less than 5 ng/dL or less than 0.17 nmol/L) or less than the reference range for the lab (This may require treatment to be temporarily held. Document lab value and date) </w:t>
            </w:r>
          </w:p>
          <w:p w14:paraId="4BBBDF4B" w14:textId="77777777" w:rsidR="00000000" w:rsidRDefault="00000000">
            <w:pPr>
              <w:pStyle w:val="logicconnectorp"/>
            </w:pPr>
            <w:r>
              <w:rPr>
                <w:b/>
                <w:bCs/>
              </w:rPr>
              <w:br/>
              <w:t>or</w:t>
            </w:r>
          </w:p>
          <w:p w14:paraId="01721DFC" w14:textId="77777777" w:rsidR="00000000" w:rsidRDefault="00000000">
            <w:pPr>
              <w:pStyle w:val="sectioncolumnvaluep"/>
            </w:pPr>
            <w:r>
              <w:rPr>
                <w:b/>
                <w:bCs/>
              </w:rPr>
              <w:br/>
              <w:t xml:space="preserve"> 1.3 </w:t>
            </w:r>
            <w:r>
              <w:t xml:space="preserve">Patient has a history of ONE of the following: </w:t>
            </w:r>
          </w:p>
          <w:p w14:paraId="11F508F1" w14:textId="77777777" w:rsidR="00000000" w:rsidRDefault="00000000">
            <w:pPr>
              <w:numPr>
                <w:ilvl w:val="0"/>
                <w:numId w:val="38"/>
              </w:numPr>
              <w:spacing w:before="100" w:beforeAutospacing="1" w:after="100" w:afterAutospacing="1" w:line="240" w:lineRule="auto"/>
              <w:rPr>
                <w:rFonts w:eastAsia="Times New Roman"/>
              </w:rPr>
            </w:pPr>
            <w:r>
              <w:rPr>
                <w:rFonts w:ascii="Arial" w:eastAsia="Times New Roman" w:hAnsi="Arial" w:cs="Arial"/>
                <w:sz w:val="22"/>
                <w:szCs w:val="22"/>
              </w:rPr>
              <w:t xml:space="preserve">Bilateral orchiectomy </w:t>
            </w:r>
          </w:p>
          <w:p w14:paraId="0064C878" w14:textId="77777777" w:rsidR="00000000" w:rsidRDefault="00000000">
            <w:pPr>
              <w:numPr>
                <w:ilvl w:val="0"/>
                <w:numId w:val="38"/>
              </w:numPr>
              <w:spacing w:before="100" w:beforeAutospacing="1" w:after="100" w:afterAutospacing="1" w:line="240" w:lineRule="auto"/>
              <w:rPr>
                <w:rFonts w:eastAsia="Times New Roman"/>
              </w:rPr>
            </w:pPr>
            <w:r>
              <w:rPr>
                <w:rFonts w:ascii="Arial" w:eastAsia="Times New Roman" w:hAnsi="Arial" w:cs="Arial"/>
                <w:sz w:val="22"/>
                <w:szCs w:val="22"/>
              </w:rPr>
              <w:t xml:space="preserve">Panhypopituitarism </w:t>
            </w:r>
          </w:p>
          <w:p w14:paraId="356B4413" w14:textId="77777777" w:rsidR="00000000" w:rsidRDefault="00000000">
            <w:pPr>
              <w:numPr>
                <w:ilvl w:val="0"/>
                <w:numId w:val="38"/>
              </w:numPr>
              <w:spacing w:before="100" w:beforeAutospacing="1" w:after="100" w:afterAutospacing="1" w:line="240" w:lineRule="auto"/>
              <w:rPr>
                <w:rFonts w:eastAsia="Times New Roman"/>
              </w:rPr>
            </w:pPr>
            <w:r>
              <w:rPr>
                <w:rFonts w:ascii="Arial" w:eastAsia="Times New Roman" w:hAnsi="Arial" w:cs="Arial"/>
                <w:sz w:val="22"/>
                <w:szCs w:val="22"/>
              </w:rPr>
              <w:t xml:space="preserve">A genetic disorder known to cause hypogonadism (e.g., congenital anorchia, Klinefelter’s syndrome) </w:t>
            </w:r>
          </w:p>
          <w:p w14:paraId="6F1F6FFE" w14:textId="77777777" w:rsidR="00000000" w:rsidRDefault="00000000">
            <w:pPr>
              <w:pStyle w:val="logicconnectorp"/>
            </w:pPr>
            <w:r>
              <w:rPr>
                <w:b/>
                <w:bCs/>
              </w:rPr>
              <w:br/>
              <w:t>AND</w:t>
            </w:r>
          </w:p>
          <w:p w14:paraId="24186713" w14:textId="77777777" w:rsidR="00000000" w:rsidRDefault="00000000">
            <w:pPr>
              <w:pStyle w:val="sectioncolumnvaluep"/>
            </w:pPr>
            <w:r>
              <w:br/>
            </w:r>
            <w:r>
              <w:rPr>
                <w:b/>
                <w:bCs/>
              </w:rPr>
              <w:t xml:space="preserve">2 </w:t>
            </w:r>
            <w:r>
              <w:t xml:space="preserve">- Patient is NOT taking ONE of the following growth hormones, unless diagnosed with panhypopituitarism: </w:t>
            </w:r>
          </w:p>
          <w:p w14:paraId="57370ADC"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Genotropin </w:t>
            </w:r>
          </w:p>
          <w:p w14:paraId="75A87448"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Humatrope </w:t>
            </w:r>
          </w:p>
          <w:p w14:paraId="5A81F09B"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Norditropin FlexPro </w:t>
            </w:r>
          </w:p>
          <w:p w14:paraId="45F84D4A"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Nutropin AQ </w:t>
            </w:r>
          </w:p>
          <w:p w14:paraId="61B9E7B2"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Omnitrope </w:t>
            </w:r>
          </w:p>
          <w:p w14:paraId="33FA935F" w14:textId="77777777" w:rsidR="00000000" w:rsidRDefault="00000000">
            <w:pPr>
              <w:numPr>
                <w:ilvl w:val="0"/>
                <w:numId w:val="39"/>
              </w:numPr>
              <w:spacing w:before="100" w:beforeAutospacing="1" w:after="100" w:afterAutospacing="1" w:line="240" w:lineRule="auto"/>
              <w:rPr>
                <w:rFonts w:eastAsia="Times New Roman"/>
              </w:rPr>
            </w:pPr>
            <w:r>
              <w:rPr>
                <w:rFonts w:ascii="Arial" w:eastAsia="Times New Roman" w:hAnsi="Arial" w:cs="Arial"/>
                <w:sz w:val="22"/>
                <w:szCs w:val="22"/>
              </w:rPr>
              <w:t xml:space="preserve">Saizen </w:t>
            </w:r>
          </w:p>
          <w:p w14:paraId="2EF47915" w14:textId="77777777" w:rsidR="00000000" w:rsidRDefault="00000000">
            <w:pPr>
              <w:pStyle w:val="logicconnectorp"/>
            </w:pPr>
            <w:r>
              <w:rPr>
                <w:b/>
                <w:bCs/>
              </w:rPr>
              <w:lastRenderedPageBreak/>
              <w:br/>
              <w:t>AND</w:t>
            </w:r>
          </w:p>
          <w:p w14:paraId="73D5DEBC" w14:textId="77777777" w:rsidR="00000000" w:rsidRDefault="00000000">
            <w:pPr>
              <w:pStyle w:val="sectioncolumnvaluep"/>
            </w:pPr>
            <w:r>
              <w:br/>
            </w:r>
            <w:r>
              <w:rPr>
                <w:b/>
                <w:bCs/>
              </w:rPr>
              <w:t xml:space="preserve">3 </w:t>
            </w:r>
            <w:r>
              <w:t xml:space="preserve">- Patient is NOT taking with an Aromatase inhibitor (eg, Arimidex [anastrozole], Femara [letrozole], or Aromasin [exemestane]) </w:t>
            </w:r>
          </w:p>
          <w:p w14:paraId="6ECED6C4" w14:textId="77777777" w:rsidR="00000000" w:rsidRDefault="00000000">
            <w:pPr>
              <w:pStyle w:val="logicconnectorp"/>
            </w:pPr>
            <w:r>
              <w:rPr>
                <w:b/>
                <w:bCs/>
              </w:rPr>
              <w:br/>
              <w:t>AND</w:t>
            </w:r>
          </w:p>
          <w:p w14:paraId="101222CE" w14:textId="77777777" w:rsidR="00000000" w:rsidRDefault="00000000">
            <w:pPr>
              <w:pStyle w:val="sectioncolumnvaluep"/>
            </w:pPr>
            <w:r>
              <w:br/>
            </w:r>
            <w:r>
              <w:rPr>
                <w:b/>
                <w:bCs/>
              </w:rPr>
              <w:t xml:space="preserve">4 </w:t>
            </w:r>
            <w:r>
              <w:t xml:space="preserve">- Patient was male at birth </w:t>
            </w:r>
          </w:p>
          <w:p w14:paraId="22CDE738" w14:textId="77777777" w:rsidR="00000000" w:rsidRDefault="00000000">
            <w:pPr>
              <w:pStyle w:val="logicconnectorp"/>
            </w:pPr>
            <w:r>
              <w:rPr>
                <w:b/>
                <w:bCs/>
              </w:rPr>
              <w:br/>
              <w:t>AND</w:t>
            </w:r>
          </w:p>
          <w:p w14:paraId="502C1387" w14:textId="77777777" w:rsidR="00000000" w:rsidRDefault="00000000">
            <w:pPr>
              <w:pStyle w:val="sectioncolumnvaluep"/>
            </w:pPr>
            <w:r>
              <w:br/>
            </w:r>
            <w:r>
              <w:rPr>
                <w:b/>
                <w:bCs/>
              </w:rPr>
              <w:t xml:space="preserve">5 </w:t>
            </w:r>
            <w:r>
              <w:t xml:space="preserve">- Diagnosis of hypogonadism </w:t>
            </w:r>
          </w:p>
          <w:p w14:paraId="45F6071F" w14:textId="77777777" w:rsidR="00000000" w:rsidRDefault="00000000">
            <w:pPr>
              <w:pStyle w:val="logicconnectorp"/>
            </w:pPr>
            <w:r>
              <w:rPr>
                <w:b/>
                <w:bCs/>
              </w:rPr>
              <w:br/>
              <w:t>AND</w:t>
            </w:r>
          </w:p>
          <w:p w14:paraId="0A7C0B61" w14:textId="77777777" w:rsidR="00000000" w:rsidRDefault="00000000">
            <w:pPr>
              <w:pStyle w:val="sectioncolumnvaluep"/>
            </w:pPr>
            <w:r>
              <w:br/>
            </w:r>
            <w:r>
              <w:rPr>
                <w:b/>
                <w:bCs/>
              </w:rPr>
              <w:t xml:space="preserve">6 </w:t>
            </w:r>
            <w:r>
              <w:t xml:space="preserve">- ONE of the following: </w:t>
            </w:r>
          </w:p>
          <w:p w14:paraId="53CD36EB"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Significant reduction in weight (less than 90 percent ideal body weight) (e.g., AIDS wasting syndrome) </w:t>
            </w:r>
          </w:p>
          <w:p w14:paraId="02C0B56F"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Osteopenia </w:t>
            </w:r>
          </w:p>
          <w:p w14:paraId="35FD118E"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Osteoporosis </w:t>
            </w:r>
          </w:p>
          <w:p w14:paraId="48975133"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Decreased bone density </w:t>
            </w:r>
          </w:p>
          <w:p w14:paraId="7012EF7C"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Decreased libido </w:t>
            </w:r>
          </w:p>
          <w:p w14:paraId="217A5FB6" w14:textId="77777777" w:rsidR="00000000" w:rsidRDefault="00000000">
            <w:pPr>
              <w:numPr>
                <w:ilvl w:val="0"/>
                <w:numId w:val="40"/>
              </w:numPr>
              <w:spacing w:before="100" w:beforeAutospacing="1" w:after="100" w:afterAutospacing="1" w:line="240" w:lineRule="auto"/>
              <w:rPr>
                <w:rFonts w:eastAsia="Times New Roman"/>
              </w:rPr>
            </w:pPr>
            <w:r>
              <w:rPr>
                <w:rFonts w:ascii="Arial" w:eastAsia="Times New Roman" w:hAnsi="Arial" w:cs="Arial"/>
                <w:sz w:val="22"/>
                <w:szCs w:val="22"/>
              </w:rPr>
              <w:t xml:space="preserve">Organic cause of testosterone deficiency (eg, injury, tumor, infection, or genetic defects) </w:t>
            </w:r>
          </w:p>
          <w:p w14:paraId="6EB67FBD" w14:textId="77777777" w:rsidR="00000000" w:rsidRDefault="00000000">
            <w:pPr>
              <w:pStyle w:val="logicconnectorp"/>
            </w:pPr>
            <w:r>
              <w:rPr>
                <w:b/>
                <w:bCs/>
              </w:rPr>
              <w:br/>
              <w:t>AND</w:t>
            </w:r>
          </w:p>
          <w:p w14:paraId="6A4F5F75" w14:textId="77777777" w:rsidR="00000000" w:rsidRDefault="00000000">
            <w:pPr>
              <w:pStyle w:val="sectioncolumnvaluep"/>
            </w:pPr>
            <w:r>
              <w:br/>
            </w:r>
            <w:r>
              <w:rPr>
                <w:b/>
                <w:bCs/>
              </w:rPr>
              <w:t xml:space="preserve">7 </w:t>
            </w:r>
            <w:r>
              <w:t xml:space="preserve">- If the request is for AZMIRO, JATENZO, KYZATREX, TLANDO, UNDECATREX, BRAND VOGELXO or GENERIC TESTOSTERONE 1% GEL; Submission of medical records (e.g., chart notes) or paid claims confirming a history of failure or intolerance to generic testosterone 1.62% gel (generic for Androgel by preferred manufacturers) (Applies to Azmiro, Jatenzo, Kyzatrex, Tlando, Undecatrex, and Brand/generic Vogelxo only) </w:t>
            </w:r>
          </w:p>
          <w:p w14:paraId="020DF7A1" w14:textId="77777777" w:rsidR="00000000" w:rsidRDefault="00000000">
            <w:pPr>
              <w:rPr>
                <w:rFonts w:eastAsia="Times New Roman"/>
              </w:rPr>
            </w:pPr>
          </w:p>
        </w:tc>
      </w:tr>
    </w:tbl>
    <w:p w14:paraId="24D4844B" w14:textId="77777777" w:rsidR="00000000" w:rsidRDefault="00000000">
      <w:pPr>
        <w:divId w:val="556743882"/>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50B2B1DF"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07E3FECD" w14:textId="77777777" w:rsidR="00000000" w:rsidRDefault="00000000">
            <w:pPr>
              <w:pStyle w:val="sectioncolumnvaluep"/>
            </w:pPr>
            <w:r>
              <w:t xml:space="preserve">Product Name:Brand Androgel pump, generic testosterone 1.62% pump (generic Androgel pump), Brand Androgel gel, generic testosterone gel (generic Androgel), testosterone enanthate, testosterone topical 30mg/act solution, testosterone cypionate, Brand Testim, generic testosterone 50mg/5gm TD gel (generic Testim), Brand Vogelxo, generic testosterone TD gel (generic Vogelxo), Azmiro, Jatenzo, Kyzatrex, Tlando, Undecatrex </w:t>
            </w:r>
          </w:p>
        </w:tc>
      </w:tr>
      <w:tr w:rsidR="00000000" w14:paraId="10AD3D26"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25EA913" w14:textId="77777777" w:rsidR="00000000" w:rsidRDefault="00000000">
            <w:pPr>
              <w:pStyle w:val="sectioncolumnvaluep"/>
            </w:pPr>
            <w:r>
              <w:lastRenderedPageBreak/>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48941C7" w14:textId="77777777" w:rsidR="00000000" w:rsidRDefault="00000000">
            <w:pPr>
              <w:pStyle w:val="sectioncolumnvaluep"/>
            </w:pPr>
            <w:r>
              <w:t xml:space="preserve">Gender Dysphoria </w:t>
            </w:r>
          </w:p>
        </w:tc>
      </w:tr>
      <w:tr w:rsidR="00000000" w14:paraId="5A0618D2"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10F83B7"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B3CE411" w14:textId="77777777" w:rsidR="00000000" w:rsidRDefault="00000000">
            <w:pPr>
              <w:pStyle w:val="sectioncolumnvaluep"/>
            </w:pPr>
            <w:r>
              <w:t xml:space="preserve">12 month(s) </w:t>
            </w:r>
          </w:p>
        </w:tc>
      </w:tr>
      <w:tr w:rsidR="00000000" w14:paraId="41DCB3DA"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6F3166B"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6AFD074" w14:textId="77777777" w:rsidR="00000000" w:rsidRDefault="00000000">
            <w:pPr>
              <w:pStyle w:val="sectioncolumnvaluep"/>
            </w:pPr>
            <w:r>
              <w:t xml:space="preserve">Initial Authorization </w:t>
            </w:r>
          </w:p>
        </w:tc>
      </w:tr>
      <w:tr w:rsidR="00000000" w14:paraId="5CBD6E36"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AEC977F"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17CD327" w14:textId="77777777" w:rsidR="00000000" w:rsidRDefault="00000000">
            <w:pPr>
              <w:pStyle w:val="sectioncolumnvaluep"/>
            </w:pPr>
            <w:r>
              <w:t xml:space="preserve">Prior Authorization </w:t>
            </w:r>
          </w:p>
        </w:tc>
      </w:tr>
      <w:tr w:rsidR="00000000" w14:paraId="5A35B6A3"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6A39EEF2" w14:textId="77777777" w:rsidR="00000000" w:rsidRDefault="00000000">
            <w:pPr>
              <w:rPr>
                <w:rFonts w:eastAsia="Times New Roman"/>
              </w:rPr>
            </w:pPr>
            <w:r>
              <w:rPr>
                <w:rFonts w:eastAsia="Times New Roman"/>
              </w:rPr>
              <w:br/>
            </w:r>
          </w:p>
          <w:p w14:paraId="4B90B83E" w14:textId="77777777" w:rsidR="00000000" w:rsidRDefault="00000000">
            <w:pPr>
              <w:pStyle w:val="sectioncolumnvaluep"/>
            </w:pPr>
            <w:r>
              <w:rPr>
                <w:b/>
                <w:bCs/>
              </w:rPr>
              <w:t xml:space="preserve">Approval Criteria   </w:t>
            </w:r>
          </w:p>
          <w:p w14:paraId="09F905CF" w14:textId="77777777" w:rsidR="00000000" w:rsidRDefault="00000000">
            <w:pPr>
              <w:pStyle w:val="sectioncolumnvaluep"/>
            </w:pPr>
            <w:r>
              <w:br/>
            </w:r>
            <w:r>
              <w:rPr>
                <w:b/>
                <w:bCs/>
              </w:rPr>
              <w:t xml:space="preserve">1 </w:t>
            </w:r>
            <w:r>
              <w:t xml:space="preserve">- Patient is using hormones to change physical characteristics </w:t>
            </w:r>
          </w:p>
          <w:p w14:paraId="31607D2A" w14:textId="77777777" w:rsidR="00000000" w:rsidRDefault="00000000">
            <w:pPr>
              <w:pStyle w:val="logicconnectorp"/>
            </w:pPr>
            <w:r>
              <w:rPr>
                <w:b/>
                <w:bCs/>
              </w:rPr>
              <w:br/>
              <w:t>AND</w:t>
            </w:r>
          </w:p>
          <w:p w14:paraId="5DAE791E" w14:textId="77777777" w:rsidR="00000000" w:rsidRDefault="00000000">
            <w:pPr>
              <w:pStyle w:val="sectioncolumnvaluep"/>
            </w:pPr>
            <w:r>
              <w:br/>
            </w:r>
            <w:r>
              <w:rPr>
                <w:b/>
                <w:bCs/>
              </w:rPr>
              <w:t xml:space="preserve">2 </w:t>
            </w:r>
            <w:r>
              <w:t xml:space="preserve">- Submission of medical records (e.g., chart notes, lab work, imaging) documenting diagnosis of gender dysphoria, as defined by the current version of the Diagnostic and Statistical Manual of Mental Disorders (DSM) </w:t>
            </w:r>
          </w:p>
          <w:p w14:paraId="09694AF8" w14:textId="77777777" w:rsidR="00000000" w:rsidRDefault="00000000">
            <w:pPr>
              <w:pStyle w:val="logicconnectorp"/>
            </w:pPr>
            <w:r>
              <w:rPr>
                <w:b/>
                <w:bCs/>
              </w:rPr>
              <w:br/>
              <w:t>AND</w:t>
            </w:r>
          </w:p>
          <w:p w14:paraId="276DC21E" w14:textId="77777777" w:rsidR="00000000" w:rsidRDefault="00000000">
            <w:pPr>
              <w:pStyle w:val="sectioncolumnvaluep"/>
            </w:pPr>
            <w:r>
              <w:br/>
            </w:r>
            <w:r>
              <w:rPr>
                <w:b/>
                <w:bCs/>
              </w:rPr>
              <w:t xml:space="preserve">3 </w:t>
            </w:r>
            <w:r>
              <w:t xml:space="preserve">- Patient is NOT taking ONE of the following growth hormones, unless diagnosed with panhypopituitarism: </w:t>
            </w:r>
          </w:p>
          <w:p w14:paraId="38BCD151"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Genotropin </w:t>
            </w:r>
          </w:p>
          <w:p w14:paraId="3EB6D0CA"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Humatrope </w:t>
            </w:r>
          </w:p>
          <w:p w14:paraId="0674B059"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Norditropin FlexPro </w:t>
            </w:r>
          </w:p>
          <w:p w14:paraId="459E0D70"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Nutropin AQ </w:t>
            </w:r>
          </w:p>
          <w:p w14:paraId="5B7669FD"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Omnitrope </w:t>
            </w:r>
          </w:p>
          <w:p w14:paraId="68CCE2C1" w14:textId="77777777" w:rsidR="00000000" w:rsidRDefault="00000000">
            <w:pPr>
              <w:numPr>
                <w:ilvl w:val="0"/>
                <w:numId w:val="41"/>
              </w:numPr>
              <w:spacing w:before="100" w:beforeAutospacing="1" w:after="100" w:afterAutospacing="1" w:line="240" w:lineRule="auto"/>
              <w:rPr>
                <w:rFonts w:eastAsia="Times New Roman"/>
              </w:rPr>
            </w:pPr>
            <w:r>
              <w:rPr>
                <w:rFonts w:ascii="Arial" w:eastAsia="Times New Roman" w:hAnsi="Arial" w:cs="Arial"/>
                <w:sz w:val="22"/>
                <w:szCs w:val="22"/>
              </w:rPr>
              <w:t xml:space="preserve">Saizen </w:t>
            </w:r>
          </w:p>
          <w:p w14:paraId="1723E9C5" w14:textId="77777777" w:rsidR="00000000" w:rsidRDefault="00000000">
            <w:pPr>
              <w:pStyle w:val="logicconnectorp"/>
            </w:pPr>
            <w:r>
              <w:rPr>
                <w:b/>
                <w:bCs/>
              </w:rPr>
              <w:br/>
              <w:t>AND</w:t>
            </w:r>
          </w:p>
          <w:p w14:paraId="57CBF45F" w14:textId="77777777" w:rsidR="00000000" w:rsidRDefault="00000000">
            <w:pPr>
              <w:pStyle w:val="sectioncolumnvaluep"/>
            </w:pPr>
            <w:r>
              <w:br/>
            </w:r>
            <w:r>
              <w:rPr>
                <w:b/>
                <w:bCs/>
              </w:rPr>
              <w:t xml:space="preserve">4 </w:t>
            </w:r>
            <w:r>
              <w:t xml:space="preserve">- Patient is NOT taking with an Aromatase inhibitor (eg, Arimidex [anastrozole], Femara [letrozole], Aromasin [exemestane]) </w:t>
            </w:r>
          </w:p>
          <w:p w14:paraId="466AB721" w14:textId="77777777" w:rsidR="00000000" w:rsidRDefault="00000000">
            <w:pPr>
              <w:pStyle w:val="logicconnectorp"/>
            </w:pPr>
            <w:r>
              <w:rPr>
                <w:b/>
                <w:bCs/>
              </w:rPr>
              <w:br/>
              <w:t>AND</w:t>
            </w:r>
          </w:p>
          <w:p w14:paraId="070045EF" w14:textId="77777777" w:rsidR="00000000" w:rsidRDefault="00000000">
            <w:pPr>
              <w:pStyle w:val="sectioncolumnvaluep"/>
            </w:pPr>
            <w:r>
              <w:br/>
            </w:r>
            <w:r>
              <w:rPr>
                <w:b/>
                <w:bCs/>
              </w:rPr>
              <w:t xml:space="preserve">5 </w:t>
            </w:r>
            <w:r>
              <w:t xml:space="preserve">- If the request is for AZMIRO, JATENZO, KYZATREX, TLANDO, UNDECATREX, BRAND VOGELXO or GENERIC TESTOSTERONE 1% GEL; Submission of medical records (e.g., chart notes) or paid claims confirming a history of failure or intolerance to generic testosterone </w:t>
            </w:r>
            <w:r>
              <w:lastRenderedPageBreak/>
              <w:t xml:space="preserve">1.62% gel (generic for Androgel by preferred manufacturers) (Applies to Azmiro, Jatenzo, Kyzatrex, Tlando, Undecatrex, and Brand/generic Vogelxo only) </w:t>
            </w:r>
          </w:p>
          <w:p w14:paraId="3087863E" w14:textId="77777777" w:rsidR="00000000" w:rsidRDefault="00000000">
            <w:pPr>
              <w:rPr>
                <w:rFonts w:eastAsia="Times New Roman"/>
              </w:rPr>
            </w:pPr>
          </w:p>
        </w:tc>
      </w:tr>
    </w:tbl>
    <w:p w14:paraId="59AC7B4E" w14:textId="77777777" w:rsidR="00000000" w:rsidRDefault="00000000">
      <w:pPr>
        <w:divId w:val="556743882"/>
        <w:rPr>
          <w:rFonts w:ascii="Arial" w:eastAsia="Times New Roman" w:hAnsi="Arial" w:cs="Arial"/>
        </w:rPr>
      </w:pPr>
    </w:p>
    <w:tbl>
      <w:tblPr>
        <w:tblW w:w="49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19"/>
        <w:gridCol w:w="6957"/>
      </w:tblGrid>
      <w:tr w:rsidR="00000000" w14:paraId="1FEE1465"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shd w:val="clear" w:color="auto" w:fill="FABF8F"/>
            <w:tcMar>
              <w:top w:w="60" w:type="dxa"/>
              <w:left w:w="60" w:type="dxa"/>
              <w:bottom w:w="60" w:type="dxa"/>
              <w:right w:w="60" w:type="dxa"/>
            </w:tcMar>
            <w:hideMark/>
          </w:tcPr>
          <w:p w14:paraId="49035559" w14:textId="77777777" w:rsidR="00000000" w:rsidRDefault="00000000">
            <w:pPr>
              <w:pStyle w:val="sectioncolumnvaluep"/>
            </w:pPr>
            <w:r>
              <w:t xml:space="preserve">Product Name:Brand Androgel pump, generic testosterone 1.62% pump (generic Androgel pump), Brand Androgel gel, generic testosterone gel (generic Androgel), testosterone enanthate, testosterone topical 30mg/act solution, testosterone cypionate, Brand Testim, generic testosterone 50mg/5gm TD gel (generic Testim), Brand Vogelxo, generic testosterone TD gel (generic Vogelxo), Azmiro, Jatenzo, Kyzatrex, Tlando, Undecatrex </w:t>
            </w:r>
          </w:p>
        </w:tc>
      </w:tr>
      <w:tr w:rsidR="00000000" w14:paraId="38536A2E"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0B913119" w14:textId="77777777" w:rsidR="00000000" w:rsidRDefault="00000000">
            <w:pPr>
              <w:pStyle w:val="sectioncolumnvaluep"/>
            </w:pPr>
            <w:r>
              <w:t>Diagnosis</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5C154DB8" w14:textId="77777777" w:rsidR="00000000" w:rsidRDefault="00000000">
            <w:pPr>
              <w:pStyle w:val="sectioncolumnvaluep"/>
            </w:pPr>
            <w:r>
              <w:t xml:space="preserve">Hypogonadism, Gender Dysphoria </w:t>
            </w:r>
          </w:p>
        </w:tc>
      </w:tr>
      <w:tr w:rsidR="00000000" w14:paraId="605EBC42"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731D347C" w14:textId="77777777" w:rsidR="00000000" w:rsidRDefault="00000000">
            <w:pPr>
              <w:pStyle w:val="sectioncolumnvaluep"/>
            </w:pPr>
            <w:r>
              <w:t>Approval Length</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27367B7" w14:textId="77777777" w:rsidR="00000000" w:rsidRDefault="00000000">
            <w:pPr>
              <w:pStyle w:val="sectioncolumnvaluep"/>
            </w:pPr>
            <w:r>
              <w:t xml:space="preserve">12 month(s) </w:t>
            </w:r>
          </w:p>
        </w:tc>
      </w:tr>
      <w:tr w:rsidR="00000000" w14:paraId="12AA7FCF"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2D691595" w14:textId="77777777" w:rsidR="00000000" w:rsidRDefault="00000000">
            <w:pPr>
              <w:pStyle w:val="sectioncolumnvaluep"/>
            </w:pPr>
            <w:r>
              <w:t>Therapy Stage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36DB44B" w14:textId="77777777" w:rsidR="00000000" w:rsidRDefault="00000000">
            <w:pPr>
              <w:pStyle w:val="sectioncolumnvaluep"/>
            </w:pPr>
            <w:r>
              <w:t xml:space="preserve">Reauthorization </w:t>
            </w:r>
          </w:p>
        </w:tc>
      </w:tr>
      <w:tr w:rsidR="00000000" w14:paraId="2E948FCE"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31F5E485" w14:textId="77777777" w:rsidR="00000000" w:rsidRDefault="00000000">
            <w:pPr>
              <w:pStyle w:val="sectioncolumnvaluep"/>
            </w:pPr>
            <w:r>
              <w:t>Guideline Type</w:t>
            </w:r>
          </w:p>
        </w:tc>
        <w:tc>
          <w:tcPr>
            <w:tcW w:w="37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414C7E42" w14:textId="77777777" w:rsidR="00000000" w:rsidRDefault="00000000">
            <w:pPr>
              <w:pStyle w:val="sectioncolumnvaluep"/>
            </w:pPr>
            <w:r>
              <w:t xml:space="preserve">Prior Authorization </w:t>
            </w:r>
          </w:p>
        </w:tc>
      </w:tr>
      <w:tr w:rsidR="00000000" w14:paraId="72838D02" w14:textId="77777777">
        <w:trPr>
          <w:divId w:val="556743882"/>
        </w:trPr>
        <w:tc>
          <w:tcPr>
            <w:tcW w:w="5000" w:type="pct"/>
            <w:gridSpan w:val="2"/>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hideMark/>
          </w:tcPr>
          <w:p w14:paraId="145DA5E9" w14:textId="77777777" w:rsidR="00000000" w:rsidRDefault="00000000">
            <w:pPr>
              <w:rPr>
                <w:rFonts w:eastAsia="Times New Roman"/>
              </w:rPr>
            </w:pPr>
            <w:r>
              <w:rPr>
                <w:rFonts w:eastAsia="Times New Roman"/>
              </w:rPr>
              <w:br/>
            </w:r>
          </w:p>
          <w:p w14:paraId="67B2877A" w14:textId="77777777" w:rsidR="00000000" w:rsidRDefault="00000000">
            <w:pPr>
              <w:pStyle w:val="sectioncolumnvaluep"/>
            </w:pPr>
            <w:r>
              <w:rPr>
                <w:b/>
                <w:bCs/>
              </w:rPr>
              <w:t xml:space="preserve">Approval Criteria   </w:t>
            </w:r>
          </w:p>
          <w:p w14:paraId="47043720" w14:textId="77777777" w:rsidR="00000000" w:rsidRDefault="00000000">
            <w:pPr>
              <w:pStyle w:val="sectioncolumnvaluep"/>
            </w:pPr>
            <w:r>
              <w:br/>
            </w:r>
            <w:r>
              <w:rPr>
                <w:b/>
                <w:bCs/>
              </w:rPr>
              <w:t xml:space="preserve">1 </w:t>
            </w:r>
            <w:r>
              <w:t xml:space="preserve">- Submission of medical records (e.g., chart notes) documenting ONE of the following: </w:t>
            </w:r>
          </w:p>
          <w:p w14:paraId="07C39E5F" w14:textId="77777777" w:rsidR="00000000" w:rsidRDefault="00000000">
            <w:pPr>
              <w:pStyle w:val="sectioncolumnvaluep"/>
            </w:pPr>
            <w:r>
              <w:rPr>
                <w:b/>
                <w:bCs/>
              </w:rPr>
              <w:br/>
              <w:t xml:space="preserve"> 1.1 </w:t>
            </w:r>
            <w:r>
              <w:t xml:space="preserve">Follow-up total serum testosterone level drawn within the past 12 months is within or below the normal male limits of the reporting lab (document value and date) </w:t>
            </w:r>
          </w:p>
          <w:p w14:paraId="769F4A85" w14:textId="77777777" w:rsidR="00000000" w:rsidRDefault="00000000">
            <w:pPr>
              <w:pStyle w:val="logicconnectorp"/>
            </w:pPr>
            <w:r>
              <w:rPr>
                <w:b/>
                <w:bCs/>
              </w:rPr>
              <w:br/>
              <w:t>or</w:t>
            </w:r>
          </w:p>
          <w:p w14:paraId="57FAD05E" w14:textId="77777777" w:rsidR="00000000" w:rsidRDefault="00000000">
            <w:pPr>
              <w:pStyle w:val="sectioncolumnvaluep"/>
            </w:pPr>
            <w:r>
              <w:rPr>
                <w:b/>
                <w:bCs/>
              </w:rPr>
              <w:br/>
              <w:t xml:space="preserve"> 1.2 </w:t>
            </w:r>
            <w:r>
              <w:t xml:space="preserve">Follow-up total serum testosterone level drawn within the past 12 months is outside of upper male limits of normal for the reporting lab and the dose is adjusted (document value and date) </w:t>
            </w:r>
          </w:p>
          <w:p w14:paraId="4C189052" w14:textId="77777777" w:rsidR="00000000" w:rsidRDefault="00000000">
            <w:pPr>
              <w:pStyle w:val="logicconnectorp"/>
            </w:pPr>
            <w:r>
              <w:rPr>
                <w:b/>
                <w:bCs/>
              </w:rPr>
              <w:br/>
              <w:t>or</w:t>
            </w:r>
          </w:p>
          <w:p w14:paraId="65658263" w14:textId="77777777" w:rsidR="00000000" w:rsidRDefault="00000000">
            <w:pPr>
              <w:pStyle w:val="sectioncolumnvaluep"/>
            </w:pPr>
            <w:r>
              <w:rPr>
                <w:b/>
                <w:bCs/>
              </w:rPr>
              <w:br/>
              <w:t xml:space="preserve"> 1.3 </w:t>
            </w:r>
            <w:r>
              <w:t xml:space="preserve">BOTH of the following: </w:t>
            </w:r>
          </w:p>
          <w:p w14:paraId="0247FFB0" w14:textId="77777777" w:rsidR="00000000" w:rsidRDefault="00000000">
            <w:pPr>
              <w:pStyle w:val="sectioncolumnvaluep"/>
            </w:pPr>
            <w:r>
              <w:rPr>
                <w:b/>
                <w:bCs/>
              </w:rPr>
              <w:br/>
              <w:t xml:space="preserve">  1.3.1 </w:t>
            </w:r>
            <w:r>
              <w:t xml:space="preserve">Patient has a condition that may cause altered sex-hormone binding globulin (SHBG) (e.g., thyroid disorder, HIV disease, liver disorder, diabetes, obesity) </w:t>
            </w:r>
          </w:p>
          <w:p w14:paraId="1F28AFBF" w14:textId="77777777" w:rsidR="00000000" w:rsidRDefault="00000000">
            <w:pPr>
              <w:pStyle w:val="logicconnectorp"/>
            </w:pPr>
            <w:r>
              <w:rPr>
                <w:b/>
                <w:bCs/>
              </w:rPr>
              <w:br/>
              <w:t>AND</w:t>
            </w:r>
          </w:p>
          <w:p w14:paraId="76EAFDB0" w14:textId="77777777" w:rsidR="00000000" w:rsidRDefault="00000000">
            <w:pPr>
              <w:pStyle w:val="sectioncolumnvaluep"/>
            </w:pPr>
            <w:r>
              <w:rPr>
                <w:b/>
                <w:bCs/>
              </w:rPr>
              <w:br/>
              <w:t xml:space="preserve">  1.3.2 </w:t>
            </w:r>
            <w:r>
              <w:t xml:space="preserve">ONE of the following: </w:t>
            </w:r>
          </w:p>
          <w:p w14:paraId="30134ED6" w14:textId="77777777" w:rsidR="00000000" w:rsidRDefault="00000000">
            <w:pPr>
              <w:pStyle w:val="sectioncolumnvaluep"/>
            </w:pPr>
            <w:r>
              <w:rPr>
                <w:b/>
                <w:bCs/>
              </w:rPr>
              <w:br/>
            </w:r>
            <w:r>
              <w:rPr>
                <w:b/>
                <w:bCs/>
              </w:rPr>
              <w:lastRenderedPageBreak/>
              <w:t xml:space="preserve">   1.3.2.1 </w:t>
            </w:r>
            <w:r>
              <w:t>Follow-up calculated free or bioavailable testosterone level drawn within the past 12 months is within or below the normal male limits of the reporting lab (document lab value and date)</w:t>
            </w:r>
          </w:p>
          <w:p w14:paraId="6FC431FE" w14:textId="77777777" w:rsidR="00000000" w:rsidRDefault="00000000">
            <w:pPr>
              <w:pStyle w:val="logicconnectorp"/>
            </w:pPr>
            <w:r>
              <w:rPr>
                <w:b/>
                <w:bCs/>
              </w:rPr>
              <w:br/>
              <w:t>or</w:t>
            </w:r>
          </w:p>
          <w:p w14:paraId="54BEDDB3" w14:textId="77777777" w:rsidR="00000000" w:rsidRDefault="00000000">
            <w:pPr>
              <w:pStyle w:val="sectioncolumnvaluep"/>
            </w:pPr>
            <w:r>
              <w:rPr>
                <w:b/>
                <w:bCs/>
              </w:rPr>
              <w:br/>
              <w:t xml:space="preserve">   1.3.2.2 </w:t>
            </w:r>
            <w:r>
              <w:t>Follow-up calculated free or bioavailable testosterone level drawn within the past 12 months is outside of upper male limits of normal for the reporting lab and the dose is adjusted (document value and date)</w:t>
            </w:r>
          </w:p>
          <w:p w14:paraId="394C02C1" w14:textId="77777777" w:rsidR="00000000" w:rsidRDefault="00000000">
            <w:pPr>
              <w:pStyle w:val="logicconnectorp"/>
            </w:pPr>
            <w:r>
              <w:rPr>
                <w:b/>
                <w:bCs/>
              </w:rPr>
              <w:br/>
              <w:t>AND</w:t>
            </w:r>
          </w:p>
          <w:p w14:paraId="34128114" w14:textId="77777777" w:rsidR="00000000" w:rsidRDefault="00000000">
            <w:pPr>
              <w:pStyle w:val="sectioncolumnvaluep"/>
            </w:pPr>
            <w:r>
              <w:br/>
            </w:r>
            <w:r>
              <w:rPr>
                <w:b/>
                <w:bCs/>
              </w:rPr>
              <w:t xml:space="preserve">2 </w:t>
            </w:r>
            <w:r>
              <w:t xml:space="preserve">- Patient is NOT taking ONE of the following growth hormones, unless diagnosed with panhypopituitarism: </w:t>
            </w:r>
          </w:p>
          <w:p w14:paraId="44EEA35F"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Genotropin </w:t>
            </w:r>
          </w:p>
          <w:p w14:paraId="11FE5BD1"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Humatrope </w:t>
            </w:r>
          </w:p>
          <w:p w14:paraId="66150E68"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Norditropin FlexPro </w:t>
            </w:r>
          </w:p>
          <w:p w14:paraId="50D68F6F"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Nutropin AQ </w:t>
            </w:r>
          </w:p>
          <w:p w14:paraId="5249857E"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Omnitrope </w:t>
            </w:r>
          </w:p>
          <w:p w14:paraId="69930963" w14:textId="77777777" w:rsidR="00000000" w:rsidRDefault="00000000">
            <w:pPr>
              <w:numPr>
                <w:ilvl w:val="0"/>
                <w:numId w:val="42"/>
              </w:numPr>
              <w:spacing w:before="100" w:beforeAutospacing="1" w:after="100" w:afterAutospacing="1" w:line="240" w:lineRule="auto"/>
              <w:rPr>
                <w:rFonts w:eastAsia="Times New Roman"/>
              </w:rPr>
            </w:pPr>
            <w:r>
              <w:rPr>
                <w:rFonts w:ascii="Arial" w:eastAsia="Times New Roman" w:hAnsi="Arial" w:cs="Arial"/>
                <w:sz w:val="22"/>
                <w:szCs w:val="22"/>
              </w:rPr>
              <w:t xml:space="preserve">Saizen </w:t>
            </w:r>
          </w:p>
          <w:p w14:paraId="48DC1A45" w14:textId="77777777" w:rsidR="00000000" w:rsidRDefault="00000000">
            <w:pPr>
              <w:pStyle w:val="logicconnectorp"/>
            </w:pPr>
            <w:r>
              <w:rPr>
                <w:b/>
                <w:bCs/>
              </w:rPr>
              <w:br/>
              <w:t>AND</w:t>
            </w:r>
          </w:p>
          <w:p w14:paraId="3EE893D8" w14:textId="77777777" w:rsidR="00000000" w:rsidRDefault="00000000">
            <w:pPr>
              <w:pStyle w:val="sectioncolumnvaluep"/>
            </w:pPr>
            <w:r>
              <w:br/>
            </w:r>
            <w:r>
              <w:rPr>
                <w:b/>
                <w:bCs/>
              </w:rPr>
              <w:t xml:space="preserve">3 </w:t>
            </w:r>
            <w:r>
              <w:t xml:space="preserve">- Patient is NOT taking with an Aromatase inhibitor (eg, Arimidex [anastrozole], Femara [letrozole], Aromasin [exemestane]) </w:t>
            </w:r>
          </w:p>
          <w:p w14:paraId="7B7CA9F2" w14:textId="77777777" w:rsidR="00000000" w:rsidRDefault="00000000">
            <w:pPr>
              <w:pStyle w:val="logicconnectorp"/>
            </w:pPr>
            <w:r>
              <w:rPr>
                <w:b/>
                <w:bCs/>
              </w:rPr>
              <w:br/>
              <w:t>AND</w:t>
            </w:r>
          </w:p>
          <w:p w14:paraId="78909901" w14:textId="77777777" w:rsidR="00000000" w:rsidRDefault="00000000">
            <w:pPr>
              <w:pStyle w:val="sectioncolumnvaluep"/>
            </w:pPr>
            <w:r>
              <w:br/>
            </w:r>
            <w:r>
              <w:rPr>
                <w:b/>
                <w:bCs/>
              </w:rPr>
              <w:t xml:space="preserve">4 </w:t>
            </w:r>
            <w:r>
              <w:t xml:space="preserve">- If the request is for AZMIRO, JATENZO, KYZATREX, TLANDO, UNDECATREX, BRAND VOGELXO or GENERIC TESTOSTERONE 1% GEL; Submission of medical records (e.g., chart notes) or paid claims confirming a history of failure or intolerance to generic testosterone 1.62% gel (generic for Androgel by preferred manufacturers) (Applies to Azmiro, Jatenzo, Kyzatrex, Tlando, Undecatrex, and Brand/generic Vogelxo only) </w:t>
            </w:r>
          </w:p>
          <w:p w14:paraId="5E4AB160" w14:textId="77777777" w:rsidR="00000000" w:rsidRDefault="00000000">
            <w:pPr>
              <w:rPr>
                <w:rFonts w:eastAsia="Times New Roman"/>
              </w:rPr>
            </w:pPr>
          </w:p>
        </w:tc>
      </w:tr>
    </w:tbl>
    <w:p w14:paraId="3BC57D76" w14:textId="77777777" w:rsidR="00000000" w:rsidRDefault="00000000">
      <w:pPr>
        <w:spacing w:after="240"/>
        <w:divId w:val="556743882"/>
        <w:rPr>
          <w:rFonts w:ascii="Arial" w:eastAsia="Times New Roman" w:hAnsi="Arial" w:cs="Arial"/>
        </w:rPr>
      </w:pPr>
    </w:p>
    <w:p w14:paraId="226AFBE6" w14:textId="77777777" w:rsidR="00000000" w:rsidRDefault="00000000">
      <w:pPr>
        <w:pStyle w:val="sectionheaderp"/>
        <w:divId w:val="556743882"/>
      </w:pPr>
      <w:r>
        <w:t xml:space="preserve">2 .  Revision History </w:t>
      </w:r>
    </w:p>
    <w:p w14:paraId="7D4E6CD6" w14:textId="77777777" w:rsidR="00000000" w:rsidRDefault="00000000">
      <w:pPr>
        <w:divId w:val="556743882"/>
        <w:rPr>
          <w:rFonts w:ascii="Arial" w:eastAsia="Times New Roman" w:hAnsi="Arial" w:cs="Arial"/>
        </w:rPr>
      </w:pPr>
    </w:p>
    <w:tbl>
      <w:tblPr>
        <w:tblW w:w="496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20"/>
        <w:gridCol w:w="6960"/>
      </w:tblGrid>
      <w:tr w:rsidR="00000000" w14:paraId="4F78C085" w14:textId="77777777">
        <w:trPr>
          <w:divId w:val="556743882"/>
        </w:trPr>
        <w:tc>
          <w:tcPr>
            <w:tcW w:w="12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44B2361E"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Date </w:t>
            </w:r>
          </w:p>
        </w:tc>
        <w:tc>
          <w:tcPr>
            <w:tcW w:w="3750" w:type="pct"/>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03D2F7CA" w14:textId="77777777" w:rsidR="00000000" w:rsidRDefault="00000000">
            <w:pPr>
              <w:rPr>
                <w:rFonts w:ascii="Arial" w:eastAsia="Times New Roman" w:hAnsi="Arial" w:cs="Arial"/>
                <w:sz w:val="22"/>
                <w:szCs w:val="22"/>
              </w:rPr>
            </w:pPr>
            <w:r>
              <w:rPr>
                <w:rFonts w:ascii="Arial" w:eastAsia="Times New Roman" w:hAnsi="Arial" w:cs="Arial"/>
                <w:sz w:val="22"/>
                <w:szCs w:val="22"/>
              </w:rPr>
              <w:t xml:space="preserve">Notes </w:t>
            </w:r>
          </w:p>
        </w:tc>
      </w:tr>
      <w:tr w:rsidR="00000000" w14:paraId="6BC1912A" w14:textId="77777777">
        <w:trPr>
          <w:divId w:val="556743882"/>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E9ABC" w14:textId="77777777" w:rsidR="00000000" w:rsidRDefault="00000000">
            <w:pPr>
              <w:rPr>
                <w:rFonts w:ascii="Arial" w:eastAsia="Times New Roman" w:hAnsi="Arial" w:cs="Arial"/>
                <w:sz w:val="22"/>
                <w:szCs w:val="22"/>
              </w:rPr>
            </w:pPr>
          </w:p>
        </w:tc>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31822" w14:textId="77777777" w:rsidR="00000000" w:rsidRDefault="00000000">
            <w:pPr>
              <w:wordWrap w:val="0"/>
              <w:rPr>
                <w:rFonts w:ascii="Arial" w:eastAsia="Times New Roman" w:hAnsi="Arial" w:cs="Arial"/>
                <w:sz w:val="22"/>
                <w:szCs w:val="22"/>
              </w:rPr>
            </w:pPr>
            <w:r>
              <w:rPr>
                <w:rFonts w:ascii="Arial" w:eastAsia="Times New Roman" w:hAnsi="Arial" w:cs="Arial"/>
                <w:sz w:val="22"/>
                <w:szCs w:val="22"/>
              </w:rPr>
              <w:t xml:space="preserve">P&amp;T changes: Brand/generic Vogelxo to NP, updated embedded steps. </w:t>
            </w:r>
          </w:p>
        </w:tc>
      </w:tr>
    </w:tbl>
    <w:p w14:paraId="7BEAD6AA" w14:textId="77777777" w:rsidR="00022F5B" w:rsidRDefault="00022F5B">
      <w:pPr>
        <w:divId w:val="556743882"/>
        <w:rPr>
          <w:rFonts w:eastAsia="Times New Roman"/>
        </w:rPr>
      </w:pPr>
    </w:p>
    <w:sectPr w:rsidR="00022F5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8F19" w14:textId="77777777" w:rsidR="00022F5B" w:rsidRDefault="00022F5B">
      <w:pPr>
        <w:spacing w:after="0" w:line="240" w:lineRule="auto"/>
      </w:pPr>
      <w:r>
        <w:separator/>
      </w:r>
    </w:p>
  </w:endnote>
  <w:endnote w:type="continuationSeparator" w:id="0">
    <w:p w14:paraId="3249F5F7" w14:textId="77777777" w:rsidR="00022F5B" w:rsidRDefault="000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AC3A" w14:textId="77777777" w:rsidR="00447855" w:rsidRDefault="00000000">
    <w:pPr>
      <w:jc w:val="right"/>
    </w:pPr>
    <w:r>
      <w:t xml:space="preserve">Page </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05D4" w14:textId="77777777" w:rsidR="00022F5B" w:rsidRDefault="00022F5B">
      <w:pPr>
        <w:spacing w:after="0" w:line="240" w:lineRule="auto"/>
      </w:pPr>
      <w:r>
        <w:separator/>
      </w:r>
    </w:p>
  </w:footnote>
  <w:footnote w:type="continuationSeparator" w:id="0">
    <w:p w14:paraId="0FC9AFD3" w14:textId="77777777" w:rsidR="00022F5B" w:rsidRDefault="0002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2C39"/>
    <w:multiLevelType w:val="multilevel"/>
    <w:tmpl w:val="855A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2AD"/>
    <w:multiLevelType w:val="multilevel"/>
    <w:tmpl w:val="B844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94011"/>
    <w:multiLevelType w:val="multilevel"/>
    <w:tmpl w:val="1D9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51923"/>
    <w:multiLevelType w:val="multilevel"/>
    <w:tmpl w:val="1F70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1348B"/>
    <w:multiLevelType w:val="multilevel"/>
    <w:tmpl w:val="F60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32906"/>
    <w:multiLevelType w:val="multilevel"/>
    <w:tmpl w:val="0406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549D6"/>
    <w:multiLevelType w:val="multilevel"/>
    <w:tmpl w:val="D69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758F9"/>
    <w:multiLevelType w:val="multilevel"/>
    <w:tmpl w:val="021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02B59"/>
    <w:multiLevelType w:val="multilevel"/>
    <w:tmpl w:val="562A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24416"/>
    <w:multiLevelType w:val="multilevel"/>
    <w:tmpl w:val="61D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92C34"/>
    <w:multiLevelType w:val="multilevel"/>
    <w:tmpl w:val="204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F2AA2"/>
    <w:multiLevelType w:val="multilevel"/>
    <w:tmpl w:val="79CC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A66F7"/>
    <w:multiLevelType w:val="multilevel"/>
    <w:tmpl w:val="D01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F7592"/>
    <w:multiLevelType w:val="multilevel"/>
    <w:tmpl w:val="8AB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162EE"/>
    <w:multiLevelType w:val="multilevel"/>
    <w:tmpl w:val="0F98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D46C6"/>
    <w:multiLevelType w:val="multilevel"/>
    <w:tmpl w:val="C95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65CFD"/>
    <w:multiLevelType w:val="multilevel"/>
    <w:tmpl w:val="44E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2754F"/>
    <w:multiLevelType w:val="multilevel"/>
    <w:tmpl w:val="633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95FA6"/>
    <w:multiLevelType w:val="multilevel"/>
    <w:tmpl w:val="6CF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66FDD"/>
    <w:multiLevelType w:val="multilevel"/>
    <w:tmpl w:val="61F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417CC"/>
    <w:multiLevelType w:val="multilevel"/>
    <w:tmpl w:val="507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3613C"/>
    <w:multiLevelType w:val="multilevel"/>
    <w:tmpl w:val="162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F4147"/>
    <w:multiLevelType w:val="multilevel"/>
    <w:tmpl w:val="E65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56917"/>
    <w:multiLevelType w:val="multilevel"/>
    <w:tmpl w:val="DF38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01941"/>
    <w:multiLevelType w:val="multilevel"/>
    <w:tmpl w:val="F482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154F9"/>
    <w:multiLevelType w:val="multilevel"/>
    <w:tmpl w:val="4290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C1724"/>
    <w:multiLevelType w:val="multilevel"/>
    <w:tmpl w:val="ECA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94543"/>
    <w:multiLevelType w:val="multilevel"/>
    <w:tmpl w:val="C0F0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03C96"/>
    <w:multiLevelType w:val="multilevel"/>
    <w:tmpl w:val="F058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B14FE"/>
    <w:multiLevelType w:val="multilevel"/>
    <w:tmpl w:val="0D6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C47BE"/>
    <w:multiLevelType w:val="multilevel"/>
    <w:tmpl w:val="2C3E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97988"/>
    <w:multiLevelType w:val="multilevel"/>
    <w:tmpl w:val="39E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A2880"/>
    <w:multiLevelType w:val="multilevel"/>
    <w:tmpl w:val="D422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D35DB"/>
    <w:multiLevelType w:val="multilevel"/>
    <w:tmpl w:val="9C5E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B6511"/>
    <w:multiLevelType w:val="multilevel"/>
    <w:tmpl w:val="02D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37D85"/>
    <w:multiLevelType w:val="multilevel"/>
    <w:tmpl w:val="71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54972"/>
    <w:multiLevelType w:val="multilevel"/>
    <w:tmpl w:val="99A6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B2787"/>
    <w:multiLevelType w:val="multilevel"/>
    <w:tmpl w:val="4836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F267A"/>
    <w:multiLevelType w:val="multilevel"/>
    <w:tmpl w:val="AE92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C73AF"/>
    <w:multiLevelType w:val="multilevel"/>
    <w:tmpl w:val="B1D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00F09"/>
    <w:multiLevelType w:val="multilevel"/>
    <w:tmpl w:val="ED06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71C6B"/>
    <w:multiLevelType w:val="multilevel"/>
    <w:tmpl w:val="CA0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138552">
    <w:abstractNumId w:val="8"/>
  </w:num>
  <w:num w:numId="2" w16cid:durableId="1957442968">
    <w:abstractNumId w:val="26"/>
  </w:num>
  <w:num w:numId="3" w16cid:durableId="1509560966">
    <w:abstractNumId w:val="25"/>
  </w:num>
  <w:num w:numId="4" w16cid:durableId="1327628897">
    <w:abstractNumId w:val="30"/>
  </w:num>
  <w:num w:numId="5" w16cid:durableId="189340424">
    <w:abstractNumId w:val="31"/>
  </w:num>
  <w:num w:numId="6" w16cid:durableId="1679844354">
    <w:abstractNumId w:val="6"/>
  </w:num>
  <w:num w:numId="7" w16cid:durableId="1477069062">
    <w:abstractNumId w:val="3"/>
  </w:num>
  <w:num w:numId="8" w16cid:durableId="816456144">
    <w:abstractNumId w:val="17"/>
  </w:num>
  <w:num w:numId="9" w16cid:durableId="1023942352">
    <w:abstractNumId w:val="12"/>
  </w:num>
  <w:num w:numId="10" w16cid:durableId="2089186513">
    <w:abstractNumId w:val="18"/>
  </w:num>
  <w:num w:numId="11" w16cid:durableId="701517651">
    <w:abstractNumId w:val="41"/>
  </w:num>
  <w:num w:numId="12" w16cid:durableId="1432239966">
    <w:abstractNumId w:val="29"/>
  </w:num>
  <w:num w:numId="13" w16cid:durableId="1297956393">
    <w:abstractNumId w:val="38"/>
  </w:num>
  <w:num w:numId="14" w16cid:durableId="1449929705">
    <w:abstractNumId w:val="34"/>
  </w:num>
  <w:num w:numId="15" w16cid:durableId="593438942">
    <w:abstractNumId w:val="36"/>
  </w:num>
  <w:num w:numId="16" w16cid:durableId="932393177">
    <w:abstractNumId w:val="27"/>
  </w:num>
  <w:num w:numId="17" w16cid:durableId="1997176257">
    <w:abstractNumId w:val="20"/>
  </w:num>
  <w:num w:numId="18" w16cid:durableId="1202744622">
    <w:abstractNumId w:val="4"/>
  </w:num>
  <w:num w:numId="19" w16cid:durableId="103237489">
    <w:abstractNumId w:val="14"/>
  </w:num>
  <w:num w:numId="20" w16cid:durableId="1629169161">
    <w:abstractNumId w:val="7"/>
  </w:num>
  <w:num w:numId="21" w16cid:durableId="2052146037">
    <w:abstractNumId w:val="32"/>
  </w:num>
  <w:num w:numId="22" w16cid:durableId="1542478108">
    <w:abstractNumId w:val="0"/>
  </w:num>
  <w:num w:numId="23" w16cid:durableId="2045709367">
    <w:abstractNumId w:val="22"/>
  </w:num>
  <w:num w:numId="24" w16cid:durableId="2124882739">
    <w:abstractNumId w:val="16"/>
  </w:num>
  <w:num w:numId="25" w16cid:durableId="1020817651">
    <w:abstractNumId w:val="37"/>
  </w:num>
  <w:num w:numId="26" w16cid:durableId="255674493">
    <w:abstractNumId w:val="35"/>
  </w:num>
  <w:num w:numId="27" w16cid:durableId="1832332683">
    <w:abstractNumId w:val="5"/>
  </w:num>
  <w:num w:numId="28" w16cid:durableId="1495879184">
    <w:abstractNumId w:val="33"/>
  </w:num>
  <w:num w:numId="29" w16cid:durableId="1703482578">
    <w:abstractNumId w:val="11"/>
  </w:num>
  <w:num w:numId="30" w16cid:durableId="82066809">
    <w:abstractNumId w:val="40"/>
  </w:num>
  <w:num w:numId="31" w16cid:durableId="2086031532">
    <w:abstractNumId w:val="39"/>
  </w:num>
  <w:num w:numId="32" w16cid:durableId="1787692339">
    <w:abstractNumId w:val="10"/>
  </w:num>
  <w:num w:numId="33" w16cid:durableId="1314094974">
    <w:abstractNumId w:val="28"/>
  </w:num>
  <w:num w:numId="34" w16cid:durableId="921765301">
    <w:abstractNumId w:val="23"/>
  </w:num>
  <w:num w:numId="35" w16cid:durableId="1799373972">
    <w:abstractNumId w:val="9"/>
  </w:num>
  <w:num w:numId="36" w16cid:durableId="374160556">
    <w:abstractNumId w:val="1"/>
  </w:num>
  <w:num w:numId="37" w16cid:durableId="156117156">
    <w:abstractNumId w:val="2"/>
  </w:num>
  <w:num w:numId="38" w16cid:durableId="1982879457">
    <w:abstractNumId w:val="13"/>
  </w:num>
  <w:num w:numId="39" w16cid:durableId="2045134834">
    <w:abstractNumId w:val="15"/>
  </w:num>
  <w:num w:numId="40" w16cid:durableId="1775436620">
    <w:abstractNumId w:val="19"/>
  </w:num>
  <w:num w:numId="41" w16cid:durableId="2123450307">
    <w:abstractNumId w:val="21"/>
  </w:num>
  <w:num w:numId="42" w16cid:durableId="20624847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55"/>
    <w:rsid w:val="00022F5B"/>
    <w:rsid w:val="002238AA"/>
    <w:rsid w:val="00447855"/>
    <w:rsid w:val="009C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AD2A6"/>
  <w15:docId w15:val="{46CB70CE-96EA-44DC-9DE1-6E124FD0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Style">
    <w:name w:val="Index Style"/>
    <w:uiPriority w:val="1"/>
    <w:unhideWhenUsed/>
    <w:qFormat/>
    <w:pPr>
      <w:outlineLvl w:val="1"/>
    </w:pPr>
  </w:style>
  <w:style w:type="paragraph" w:customStyle="1" w:styleId="IndexStyle0">
    <w:name w:val="Index Style"/>
    <w:uiPriority w:val="2"/>
    <w:unhideWhenUsed/>
    <w:qFormat/>
    <w:pPr>
      <w:outlineLvl w:val="2"/>
    </w:p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documenttitle">
    <w:name w:val="documenttitle"/>
    <w:basedOn w:val="Normal"/>
    <w:pPr>
      <w:spacing w:after="0" w:line="240" w:lineRule="auto"/>
      <w:jc w:val="center"/>
    </w:pPr>
    <w:rPr>
      <w:rFonts w:ascii="Arial" w:hAnsi="Arial" w:cs="Arial"/>
      <w:color w:val="000000"/>
      <w:kern w:val="0"/>
      <w:sz w:val="32"/>
      <w:szCs w:val="32"/>
    </w:rPr>
  </w:style>
  <w:style w:type="paragraph" w:customStyle="1" w:styleId="sectionheaderp">
    <w:name w:val="sectionheaderp"/>
    <w:basedOn w:val="Normal"/>
    <w:pPr>
      <w:spacing w:after="0" w:line="240" w:lineRule="auto"/>
    </w:pPr>
    <w:rPr>
      <w:rFonts w:ascii="Arial" w:hAnsi="Arial" w:cs="Arial"/>
      <w:b/>
      <w:bCs/>
      <w:kern w:val="0"/>
      <w:sz w:val="28"/>
      <w:szCs w:val="28"/>
    </w:rPr>
  </w:style>
  <w:style w:type="paragraph" w:customStyle="1" w:styleId="sectioncolumnp">
    <w:name w:val="sectioncolumnp"/>
    <w:basedOn w:val="Normal"/>
    <w:pPr>
      <w:spacing w:after="0" w:line="240" w:lineRule="auto"/>
    </w:pPr>
    <w:rPr>
      <w:rFonts w:ascii="Arial" w:hAnsi="Arial" w:cs="Arial"/>
      <w:b/>
      <w:bCs/>
      <w:kern w:val="0"/>
      <w:sz w:val="22"/>
      <w:szCs w:val="22"/>
    </w:rPr>
  </w:style>
  <w:style w:type="paragraph" w:customStyle="1" w:styleId="sectioncolumnvaluep">
    <w:name w:val="sectioncolumnvaluep"/>
    <w:basedOn w:val="Normal"/>
    <w:pPr>
      <w:spacing w:after="0" w:line="240" w:lineRule="auto"/>
    </w:pPr>
    <w:rPr>
      <w:rFonts w:ascii="Arial" w:hAnsi="Arial" w:cs="Arial"/>
      <w:kern w:val="0"/>
      <w:sz w:val="22"/>
      <w:szCs w:val="22"/>
    </w:rPr>
  </w:style>
  <w:style w:type="paragraph" w:customStyle="1" w:styleId="logicconnectorp">
    <w:name w:val="logicconnectorp"/>
    <w:basedOn w:val="Normal"/>
    <w:pPr>
      <w:spacing w:before="100" w:beforeAutospacing="1" w:after="100" w:afterAutospacing="1" w:line="240" w:lineRule="auto"/>
      <w:jc w:val="center"/>
    </w:pPr>
    <w:rPr>
      <w:rFonts w:ascii="Arial" w:hAnsi="Arial" w:cs="Arial"/>
      <w:caps/>
      <w:kern w:val="0"/>
      <w:sz w:val="22"/>
      <w:szCs w:val="22"/>
    </w:rPr>
  </w:style>
  <w:style w:type="paragraph" w:styleId="TOC2">
    <w:name w:val="toc 2"/>
    <w:basedOn w:val="Normal"/>
    <w:next w:val="Normal"/>
    <w:autoRedefine/>
    <w:uiPriority w:val="39"/>
    <w:unhideWhenUsed/>
    <w:rsid w:val="002238AA"/>
    <w:pPr>
      <w:spacing w:after="100"/>
      <w:ind w:left="240"/>
    </w:pPr>
  </w:style>
  <w:style w:type="character" w:styleId="Hyperlink">
    <w:name w:val="Hyperlink"/>
    <w:basedOn w:val="DefaultParagraphFont"/>
    <w:uiPriority w:val="99"/>
    <w:unhideWhenUsed/>
    <w:rsid w:val="002238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2176">
      <w:bodyDiv w:val="1"/>
      <w:marLeft w:val="0"/>
      <w:marRight w:val="0"/>
      <w:marTop w:val="0"/>
      <w:marBottom w:val="0"/>
      <w:divBdr>
        <w:top w:val="none" w:sz="0" w:space="0" w:color="auto"/>
        <w:left w:val="none" w:sz="0" w:space="0" w:color="auto"/>
        <w:bottom w:val="none" w:sz="0" w:space="0" w:color="auto"/>
        <w:right w:val="none" w:sz="0" w:space="0" w:color="auto"/>
      </w:divBdr>
    </w:div>
    <w:div w:id="556743882">
      <w:bodyDiv w:val="1"/>
      <w:marLeft w:val="0"/>
      <w:marRight w:val="0"/>
      <w:marTop w:val="0"/>
      <w:marBottom w:val="0"/>
      <w:divBdr>
        <w:top w:val="none" w:sz="0" w:space="0" w:color="auto"/>
        <w:left w:val="none" w:sz="0" w:space="0" w:color="auto"/>
        <w:bottom w:val="none" w:sz="0" w:space="0" w:color="auto"/>
        <w:right w:val="none" w:sz="0" w:space="0" w:color="auto"/>
      </w:divBdr>
    </w:div>
    <w:div w:id="1461147523">
      <w:bodyDiv w:val="1"/>
      <w:marLeft w:val="0"/>
      <w:marRight w:val="0"/>
      <w:marTop w:val="0"/>
      <w:marBottom w:val="0"/>
      <w:divBdr>
        <w:top w:val="none" w:sz="0" w:space="0" w:color="auto"/>
        <w:left w:val="none" w:sz="0" w:space="0" w:color="auto"/>
        <w:bottom w:val="none" w:sz="0" w:space="0" w:color="auto"/>
        <w:right w:val="none" w:sz="0" w:space="0" w:color="auto"/>
      </w:divBdr>
    </w:div>
    <w:div w:id="1874803789">
      <w:bodyDiv w:val="1"/>
      <w:marLeft w:val="0"/>
      <w:marRight w:val="0"/>
      <w:marTop w:val="0"/>
      <w:marBottom w:val="0"/>
      <w:divBdr>
        <w:top w:val="none" w:sz="0" w:space="0" w:color="auto"/>
        <w:left w:val="none" w:sz="0" w:space="0" w:color="auto"/>
        <w:bottom w:val="none" w:sz="0" w:space="0" w:color="auto"/>
        <w:right w:val="none" w:sz="0" w:space="0" w:color="auto"/>
      </w:divBdr>
    </w:div>
    <w:div w:id="211879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nasgwssp004pn.uhc.com\umcs\Prod\Images\Optumlogo_s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3639</Words>
  <Characters>20745</Characters>
  <Application>Microsoft Office Word</Application>
  <DocSecurity>0</DocSecurity>
  <Lines>172</Lines>
  <Paragraphs>48</Paragraphs>
  <ScaleCrop>false</ScaleCrop>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Oberg, Jacquelyn</cp:lastModifiedBy>
  <cp:revision>2</cp:revision>
  <dcterms:created xsi:type="dcterms:W3CDTF">2025-03-20T19:59:00Z</dcterms:created>
  <dcterms:modified xsi:type="dcterms:W3CDTF">2025-03-20T19:59:00Z</dcterms:modified>
</cp:coreProperties>
</file>